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64" w:rsidRDefault="001C5AAF" w:rsidP="001C5AAF">
      <w:pPr>
        <w:pStyle w:val="Titel"/>
      </w:pPr>
      <w:r>
        <w:t>PROSOZ 14plus – UVG Online</w:t>
      </w:r>
      <w:r w:rsidR="00A6523A">
        <w:t>a</w:t>
      </w:r>
      <w:r>
        <w:t>ntragsverfahren</w:t>
      </w:r>
    </w:p>
    <w:p w:rsidR="001C5AAF" w:rsidRDefault="001C5AAF" w:rsidP="001C5AAF">
      <w:pPr>
        <w:pStyle w:val="berschrift1"/>
      </w:pPr>
      <w:r>
        <w:t>Anleitung</w:t>
      </w:r>
    </w:p>
    <w:p w:rsidR="001C5AAF" w:rsidRDefault="001C5AAF" w:rsidP="001C5AAF"/>
    <w:p w:rsidR="001C5AAF" w:rsidRDefault="001C5AAF" w:rsidP="001C5AAF">
      <w:pPr>
        <w:pStyle w:val="berschrift2"/>
      </w:pPr>
      <w:r>
        <w:t>Prüfung auf neue Anträge</w:t>
      </w:r>
    </w:p>
    <w:p w:rsidR="001C5AAF" w:rsidRDefault="001C5AAF" w:rsidP="001C5AAF">
      <w:r>
        <w:t>Sofern über das Portal bei der ekom21 ein neuer UVG-Onlineantrag gestellt wird, verschickt die ekom21 automatisiert eine E-Mail an das allgemeine E-Mailkonto des Amtes 51 (</w:t>
      </w:r>
      <w:r w:rsidRPr="000B44AB">
        <w:t>jugend-schulen-kultur@mtk.org</w:t>
      </w:r>
      <w:r>
        <w:t>).</w:t>
      </w:r>
    </w:p>
    <w:p w:rsidR="001C5AAF" w:rsidRDefault="001C5AAF" w:rsidP="001C5AAF"/>
    <w:p w:rsidR="001C5AAF" w:rsidRDefault="001C5AAF" w:rsidP="001C5AAF">
      <w:r>
        <w:t xml:space="preserve">Dieses E-Mail-Postfach wird von der Geschäftsstelle des Amtes überwacht. Über neu vorliegende Anträge ist die Gruppenleitung der Unterhaltsvorschusskasse </w:t>
      </w:r>
      <w:r w:rsidR="00BE5ED9">
        <w:t xml:space="preserve">(UVK) </w:t>
      </w:r>
      <w:r>
        <w:t>durch Weiterleitung der jeweiligen E-Mail zu informieren. Die Gruppenleitung geht sodann wie folgt vor, um den UVG-Onlineantrag in PROSOZ 14plus zu importieren:</w:t>
      </w:r>
    </w:p>
    <w:p w:rsidR="00A6523A" w:rsidRDefault="00A6523A" w:rsidP="001C5AAF"/>
    <w:p w:rsidR="00A6523A" w:rsidRDefault="00A6523A" w:rsidP="00A6523A">
      <w:pPr>
        <w:pStyle w:val="berschrift3"/>
      </w:pPr>
      <w:r>
        <w:t xml:space="preserve">Feststellung der Vorgangs-ID im </w:t>
      </w:r>
      <w:proofErr w:type="spellStart"/>
      <w:r>
        <w:t>Civento</w:t>
      </w:r>
      <w:proofErr w:type="spellEnd"/>
      <w:r>
        <w:t xml:space="preserve"> Posteingang</w:t>
      </w:r>
    </w:p>
    <w:p w:rsidR="00A6523A" w:rsidRDefault="00A6523A" w:rsidP="001C5AAF">
      <w:r>
        <w:t xml:space="preserve">Über den Link </w:t>
      </w:r>
      <w:hyperlink r:id="rId8" w:history="1">
        <w:r w:rsidRPr="000B4A31">
          <w:rPr>
            <w:rStyle w:val="Hyperlink"/>
          </w:rPr>
          <w:t>https://civ.intern.ekom21.de/civ/start.html</w:t>
        </w:r>
      </w:hyperlink>
      <w:r>
        <w:t xml:space="preserve"> und Angabe der persönlichen ekom21-Zugangsdaten wird der </w:t>
      </w:r>
      <w:proofErr w:type="spellStart"/>
      <w:r>
        <w:t>Civento</w:t>
      </w:r>
      <w:proofErr w:type="spellEnd"/>
      <w:r>
        <w:t>-Posteingang geöffnet:</w:t>
      </w:r>
    </w:p>
    <w:p w:rsidR="00A6523A" w:rsidRDefault="00A6523A" w:rsidP="001C5AAF"/>
    <w:p w:rsidR="00A6523A" w:rsidRDefault="00A6523A" w:rsidP="001C5AAF">
      <w:r w:rsidRPr="00A6523A">
        <w:rPr>
          <w:noProof/>
        </w:rPr>
        <w:drawing>
          <wp:inline distT="0" distB="0" distL="0" distR="0" wp14:anchorId="7040C23C" wp14:editId="28E5AFBD">
            <wp:extent cx="6311900" cy="2344420"/>
            <wp:effectExtent l="19050" t="19050" r="12700" b="177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11900" cy="2344420"/>
                    </a:xfrm>
                    <a:prstGeom prst="rect">
                      <a:avLst/>
                    </a:prstGeom>
                    <a:ln>
                      <a:solidFill>
                        <a:schemeClr val="accent2"/>
                      </a:solidFill>
                    </a:ln>
                  </pic:spPr>
                </pic:pic>
              </a:graphicData>
            </a:graphic>
          </wp:inline>
        </w:drawing>
      </w:r>
    </w:p>
    <w:p w:rsidR="00A6523A" w:rsidRDefault="00A6523A" w:rsidP="001C5AAF"/>
    <w:p w:rsidR="00A6523A" w:rsidRDefault="00A6523A" w:rsidP="001C5AAF">
      <w:r>
        <w:t>Im linken Teil des Fensters können Suchkriterien festgelegt werden. Um neue und in Bearbeitung befindliche Anträge zu sehen, muss die Option „Nur aktive Vorgänge“ angehakt sein. Nach dem Klick auf „Suche“ wird die Liste der neuen und der noch nicht als erledigt markierten Anträge angezeigt (die Aktualisierung des Suchergebnisses dauert je nach Internetverbindung einige Sekunden).</w:t>
      </w:r>
    </w:p>
    <w:p w:rsidR="00807E4E" w:rsidRDefault="00EC207D" w:rsidP="00807E4E">
      <w:pPr>
        <w:pStyle w:val="berschrift3"/>
      </w:pPr>
      <w:r>
        <w:lastRenderedPageBreak/>
        <w:t>Anlegen</w:t>
      </w:r>
      <w:r w:rsidR="00807E4E">
        <w:t xml:space="preserve"> </w:t>
      </w:r>
      <w:r>
        <w:t>eines</w:t>
      </w:r>
      <w:r w:rsidR="00807E4E">
        <w:t xml:space="preserve"> Downloadordners für </w:t>
      </w:r>
      <w:r>
        <w:t>jeden Antrag</w:t>
      </w:r>
    </w:p>
    <w:p w:rsidR="00672EFD" w:rsidRDefault="00BE5ED9" w:rsidP="00807E4E">
      <w:r>
        <w:t>Für den Download neuer</w:t>
      </w:r>
      <w:r w:rsidR="003777C1">
        <w:t xml:space="preserve"> Antragsdaten und </w:t>
      </w:r>
      <w:r w:rsidR="00CD7CBE">
        <w:t>-a</w:t>
      </w:r>
      <w:r w:rsidR="003777C1">
        <w:t>nlagen muss</w:t>
      </w:r>
      <w:r>
        <w:t xml:space="preserve"> durch die Gruppenleitung</w:t>
      </w:r>
      <w:r w:rsidR="003777C1">
        <w:t xml:space="preserve"> für jeden Antrag / Fall </w:t>
      </w:r>
      <w:r>
        <w:t xml:space="preserve">zunächst </w:t>
      </w:r>
      <w:r w:rsidR="003777C1">
        <w:t>ein eigener Downloadordner angelegt werden.</w:t>
      </w:r>
      <w:r w:rsidR="00882251">
        <w:t xml:space="preserve"> </w:t>
      </w:r>
      <w:r>
        <w:t>Im</w:t>
      </w:r>
      <w:r w:rsidR="003777C1">
        <w:t xml:space="preserve"> Windows-Explorer </w:t>
      </w:r>
      <w:r>
        <w:t>kann dazu im</w:t>
      </w:r>
      <w:r w:rsidR="003777C1">
        <w:t xml:space="preserve"> Ordner</w:t>
      </w:r>
    </w:p>
    <w:p w:rsidR="000B44AB" w:rsidRDefault="00672EFD" w:rsidP="00807E4E">
      <w:hyperlink r:id="rId10" w:tgtFrame="_blank" w:history="1">
        <w:r w:rsidR="003777C1" w:rsidRPr="003777C1">
          <w:rPr>
            <w:rStyle w:val="Hyperlink"/>
          </w:rPr>
          <w:t>G:\Prosoz14\Onlineantraege\Uvg</w:t>
        </w:r>
      </w:hyperlink>
      <w:r w:rsidR="003777C1">
        <w:t xml:space="preserve"> </w:t>
      </w:r>
      <w:r w:rsidR="000B44AB">
        <w:t xml:space="preserve">über die rechte Maustaste im Kontextmenü über </w:t>
      </w:r>
      <w:r w:rsidR="00BE5ED9">
        <w:t>„</w:t>
      </w:r>
      <w:r w:rsidR="000B44AB">
        <w:t>Neu &gt; Ordner</w:t>
      </w:r>
      <w:r w:rsidR="00BE5ED9">
        <w:t>“</w:t>
      </w:r>
      <w:r w:rsidR="000B44AB">
        <w:t xml:space="preserve"> </w:t>
      </w:r>
      <w:r w:rsidR="00BE5ED9">
        <w:t xml:space="preserve">oder die Schaltfläche „Neuer Ordner“ </w:t>
      </w:r>
      <w:proofErr w:type="spellStart"/>
      <w:r w:rsidR="00BE5ED9">
        <w:t>ind</w:t>
      </w:r>
      <w:proofErr w:type="spellEnd"/>
      <w:r w:rsidR="00BE5ED9">
        <w:t xml:space="preserve"> er Symbolleiste </w:t>
      </w:r>
      <w:r w:rsidR="000B44AB">
        <w:t xml:space="preserve">in neuer Unterordner </w:t>
      </w:r>
      <w:r w:rsidR="00BE5ED9">
        <w:t xml:space="preserve">erzeugt </w:t>
      </w:r>
      <w:r w:rsidR="000B44AB">
        <w:t xml:space="preserve">werden. </w:t>
      </w:r>
    </w:p>
    <w:p w:rsidR="00BE5ED9" w:rsidRDefault="00BE5ED9" w:rsidP="00807E4E"/>
    <w:p w:rsidR="000B44AB" w:rsidRDefault="000B44AB" w:rsidP="00807E4E">
      <w:r>
        <w:t xml:space="preserve">Als </w:t>
      </w:r>
      <w:r w:rsidRPr="00BE5ED9">
        <w:t>Name für den neuen Unte</w:t>
      </w:r>
      <w:r w:rsidR="00BE5ED9" w:rsidRPr="00BE5ED9">
        <w:t>r</w:t>
      </w:r>
      <w:r w:rsidRPr="00BE5ED9">
        <w:t xml:space="preserve">ordner </w:t>
      </w:r>
      <w:r w:rsidR="00BE5ED9" w:rsidRPr="00BE5ED9">
        <w:t>ist</w:t>
      </w:r>
      <w:r w:rsidRPr="00BE5ED9">
        <w:t xml:space="preserve"> die</w:t>
      </w:r>
      <w:r w:rsidRPr="00BE5ED9">
        <w:rPr>
          <w:b/>
        </w:rPr>
        <w:t xml:space="preserve"> </w:t>
      </w:r>
      <w:r w:rsidRPr="00BE5ED9">
        <w:rPr>
          <w:rFonts w:ascii="AauxPro OT Black" w:hAnsi="AauxPro OT Black"/>
        </w:rPr>
        <w:t>Vorgangs-ID des neuen Onlineantrags</w:t>
      </w:r>
      <w:r>
        <w:t xml:space="preserve"> (siehe </w:t>
      </w:r>
      <w:proofErr w:type="spellStart"/>
      <w:r>
        <w:t>Civento</w:t>
      </w:r>
      <w:proofErr w:type="spellEnd"/>
      <w:r>
        <w:t xml:space="preserve"> Posteingang)</w:t>
      </w:r>
      <w:r w:rsidR="00BE5ED9">
        <w:t xml:space="preserve"> zu verwenden</w:t>
      </w:r>
      <w:r>
        <w:t xml:space="preserve">. Beispiel: Für einen neuen Antrag mit der Vorgangs-ID 19.0137 wird im Windows-Explorer ein gleichnamiger Unterordner </w:t>
      </w:r>
      <w:r w:rsidR="00BE5ED9">
        <w:t xml:space="preserve">19.0137 </w:t>
      </w:r>
      <w:r>
        <w:t>angelegt:</w:t>
      </w:r>
    </w:p>
    <w:p w:rsidR="000B44AB" w:rsidRDefault="000B44AB" w:rsidP="00807E4E"/>
    <w:p w:rsidR="000B44AB" w:rsidRDefault="000B44AB" w:rsidP="00807E4E">
      <w:r w:rsidRPr="000B44AB">
        <w:rPr>
          <w:noProof/>
        </w:rPr>
        <w:drawing>
          <wp:inline distT="0" distB="0" distL="0" distR="0" wp14:anchorId="6E8791AF" wp14:editId="375A4E59">
            <wp:extent cx="6248778" cy="1770278"/>
            <wp:effectExtent l="19050" t="19050" r="19050" b="209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46769" cy="1826369"/>
                    </a:xfrm>
                    <a:prstGeom prst="rect">
                      <a:avLst/>
                    </a:prstGeom>
                    <a:ln>
                      <a:solidFill>
                        <a:schemeClr val="accent2"/>
                      </a:solidFill>
                    </a:ln>
                  </pic:spPr>
                </pic:pic>
              </a:graphicData>
            </a:graphic>
          </wp:inline>
        </w:drawing>
      </w:r>
    </w:p>
    <w:p w:rsidR="00BE5ED9" w:rsidRDefault="00BE5ED9" w:rsidP="00BE5ED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334"/>
        <w:gridCol w:w="8606"/>
      </w:tblGrid>
      <w:tr w:rsidR="00BE5ED9" w:rsidTr="00BE5ED9">
        <w:trPr>
          <w:trHeight w:val="1140"/>
        </w:trPr>
        <w:tc>
          <w:tcPr>
            <w:tcW w:w="988" w:type="dxa"/>
            <w:shd w:val="clear" w:color="auto" w:fill="FFFFCC"/>
          </w:tcPr>
          <w:p w:rsidR="00BE5ED9" w:rsidRPr="00BE5ED9" w:rsidRDefault="00BE5ED9" w:rsidP="00B83167">
            <w:pPr>
              <w:jc w:val="left"/>
              <w:rPr>
                <w:sz w:val="8"/>
                <w:szCs w:val="8"/>
              </w:rPr>
            </w:pPr>
          </w:p>
          <w:p w:rsidR="00BE5ED9" w:rsidRDefault="00BE5ED9" w:rsidP="00B83167">
            <w:pPr>
              <w:jc w:val="left"/>
            </w:pPr>
            <w:r w:rsidRPr="004E3A2A">
              <w:rPr>
                <w:rFonts w:ascii="Arial" w:hAnsi="Arial" w:cs="Arial"/>
                <w:noProof/>
                <w:color w:val="0000FF"/>
                <w:sz w:val="27"/>
                <w:szCs w:val="27"/>
              </w:rPr>
              <w:drawing>
                <wp:inline distT="0" distB="0" distL="0" distR="0" wp14:anchorId="73572C7C" wp14:editId="725290CC">
                  <wp:extent cx="710277" cy="621792"/>
                  <wp:effectExtent l="0" t="0" r="0" b="6985"/>
                  <wp:docPr id="10" name="Grafik 10" descr="Bildergebnis für achtu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achtung">
                            <a:hlinkClick r:id="rId12" tgtFrame="&quot;_blank&quot;"/>
                          </pic:cNvPr>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0277" cy="621792"/>
                          </a:xfrm>
                          <a:prstGeom prst="rect">
                            <a:avLst/>
                          </a:prstGeom>
                          <a:noFill/>
                          <a:ln>
                            <a:noFill/>
                          </a:ln>
                        </pic:spPr>
                      </pic:pic>
                    </a:graphicData>
                  </a:graphic>
                </wp:inline>
              </w:drawing>
            </w:r>
          </w:p>
        </w:tc>
        <w:tc>
          <w:tcPr>
            <w:tcW w:w="8942" w:type="dxa"/>
            <w:shd w:val="clear" w:color="auto" w:fill="FFFFCC"/>
          </w:tcPr>
          <w:p w:rsidR="00BE5ED9" w:rsidRDefault="00BE5ED9" w:rsidP="00BE5ED9">
            <w:pPr>
              <w:shd w:val="clear" w:color="auto" w:fill="FFFFCC"/>
            </w:pPr>
            <w:r>
              <w:t xml:space="preserve">Liegen mehrere neue Anträge im </w:t>
            </w:r>
            <w:proofErr w:type="spellStart"/>
            <w:r>
              <w:t>Civento</w:t>
            </w:r>
            <w:proofErr w:type="spellEnd"/>
            <w:r>
              <w:t xml:space="preserve"> Posteingang vor, muss </w:t>
            </w:r>
            <w:r w:rsidRPr="00BE5ED9">
              <w:t>für jeden weiteren Antrag auf der gleichen Ebene (unterhalb von G:\Prosoz14\Onlineantraege\Uvg\) ein eigener Unterordner angelegt werden!</w:t>
            </w:r>
          </w:p>
        </w:tc>
      </w:tr>
    </w:tbl>
    <w:p w:rsidR="00BE5ED9" w:rsidRDefault="00BE5ED9" w:rsidP="00BE5ED9"/>
    <w:p w:rsidR="00BE5ED9" w:rsidRDefault="00BE5ED9" w:rsidP="00BE5ED9"/>
    <w:p w:rsidR="00CD7CBE" w:rsidRDefault="00EC207D" w:rsidP="00CD7CBE">
      <w:pPr>
        <w:pStyle w:val="berschrift3"/>
      </w:pPr>
      <w:r>
        <w:t>Download und Speichern d</w:t>
      </w:r>
      <w:r w:rsidR="00CD7CBE">
        <w:t>er Antragsdaten und -anlagen</w:t>
      </w:r>
    </w:p>
    <w:p w:rsidR="000B44AB" w:rsidRDefault="00882251" w:rsidP="00CD7CBE">
      <w:r w:rsidRPr="00882251">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26035</wp:posOffset>
            </wp:positionV>
            <wp:extent cx="3875405" cy="2910840"/>
            <wp:effectExtent l="19050" t="19050" r="10795" b="2286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2697" b="14717"/>
                    <a:stretch/>
                  </pic:blipFill>
                  <pic:spPr bwMode="auto">
                    <a:xfrm>
                      <a:off x="0" y="0"/>
                      <a:ext cx="3875405" cy="2910840"/>
                    </a:xfrm>
                    <a:prstGeom prst="rect">
                      <a:avLst/>
                    </a:prstGeom>
                    <a:ln w="9525" cap="flat" cmpd="sng" algn="ctr">
                      <a:solidFill>
                        <a:srgbClr val="C0504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D</w:t>
      </w:r>
      <w:r w:rsidR="00CD7CBE">
        <w:t xml:space="preserve">ie Gruppenleitung </w:t>
      </w:r>
      <w:r>
        <w:t xml:space="preserve">meldet sich </w:t>
      </w:r>
      <w:r w:rsidR="00CD7CBE">
        <w:t xml:space="preserve">über </w:t>
      </w:r>
      <w:hyperlink r:id="rId15" w:history="1">
        <w:r w:rsidR="00CD7CBE" w:rsidRPr="000B4A31">
          <w:rPr>
            <w:rStyle w:val="Hyperlink"/>
          </w:rPr>
          <w:t>https://adt.intern.ekom21.de/</w:t>
        </w:r>
      </w:hyperlink>
      <w:r w:rsidR="00CD7CBE">
        <w:t xml:space="preserve"> </w:t>
      </w:r>
      <w:r>
        <w:t>bei der</w:t>
      </w:r>
      <w:r w:rsidR="00CD7CBE">
        <w:t xml:space="preserve"> ekom21-Webseite an und </w:t>
      </w:r>
      <w:r>
        <w:t>ruft über</w:t>
      </w:r>
      <w:r w:rsidR="00CD7CBE">
        <w:t xml:space="preserve"> „Service – ekom21 &gt; Download“ </w:t>
      </w:r>
      <w:r w:rsidR="007F3D9F">
        <w:t xml:space="preserve">im so genannten ADT-Portal </w:t>
      </w:r>
      <w:r>
        <w:t>eine Auflistung aller vorhandenen Onlineanträge und –</w:t>
      </w:r>
      <w:proofErr w:type="spellStart"/>
      <w:r>
        <w:t>dateien</w:t>
      </w:r>
      <w:proofErr w:type="spellEnd"/>
      <w:r>
        <w:t xml:space="preserve"> auf.</w:t>
      </w:r>
    </w:p>
    <w:p w:rsidR="00882251" w:rsidRDefault="00882251" w:rsidP="00CD7CBE"/>
    <w:p w:rsidR="007F3D9F" w:rsidRDefault="00882251" w:rsidP="00CD7CBE">
      <w:r>
        <w:t>Für jeden Fall wird hier ein virtueller Unterordner angezeigt</w:t>
      </w:r>
      <w:r w:rsidR="007F3D9F">
        <w:t>.</w:t>
      </w:r>
    </w:p>
    <w:p w:rsidR="007F3D9F" w:rsidRDefault="007F3D9F" w:rsidP="00CD7CBE"/>
    <w:p w:rsidR="007F3D9F" w:rsidRDefault="007F3D9F" w:rsidP="00CD7CBE"/>
    <w:p w:rsidR="007F3D9F" w:rsidRDefault="007F3D9F" w:rsidP="00CD7CBE"/>
    <w:p w:rsidR="00882251" w:rsidRDefault="007F3D9F" w:rsidP="00CD7CBE">
      <w:r>
        <w:lastRenderedPageBreak/>
        <w:t>In diesem Unterordner sind je Antrag</w:t>
      </w:r>
      <w:r w:rsidR="00882251">
        <w:t xml:space="preserve"> mindestens die XML-Datei mit den Antragsdaten und zwei PDF-Dateien (Antrag auf Unterhaltsvorschussleistungen sowie Bestätigung Unterhaltsvorschuss) abgelegt. Hat ein Antragsteller weitere Unterlagen hochgeladen, sind auch diese als PDF-Dateien hier aufgeführt.</w:t>
      </w:r>
    </w:p>
    <w:p w:rsidR="00882251" w:rsidRDefault="00882251" w:rsidP="00CD7CBE"/>
    <w:p w:rsidR="00882251" w:rsidRDefault="00882251" w:rsidP="00CD7CBE">
      <w:r>
        <w:t>Der Download wird durch Anklicken der jeweiligen XML- bzw. PDF-Datei ermöglicht. Am unteren Rand des Internet-Explorer-Fensters wird hierzu eine zusätzliche Leiste angezeigt, in der man auf den kleinen Pfeil neben der „Speichern“-Schaltfläche klickt und die Option „Speichern unter“ auswählt:</w:t>
      </w:r>
    </w:p>
    <w:p w:rsidR="00882251" w:rsidRDefault="00882251" w:rsidP="00CD7CBE"/>
    <w:p w:rsidR="00882251" w:rsidRDefault="00882251" w:rsidP="00CD7CBE">
      <w:r w:rsidRPr="00882251">
        <w:rPr>
          <w:noProof/>
        </w:rPr>
        <w:drawing>
          <wp:inline distT="0" distB="0" distL="0" distR="0" wp14:anchorId="720BA95B" wp14:editId="56A03DB3">
            <wp:extent cx="6311900" cy="428625"/>
            <wp:effectExtent l="19050" t="19050" r="12700" b="285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11900" cy="428625"/>
                    </a:xfrm>
                    <a:prstGeom prst="rect">
                      <a:avLst/>
                    </a:prstGeom>
                    <a:ln>
                      <a:solidFill>
                        <a:schemeClr val="accent2"/>
                      </a:solidFill>
                    </a:ln>
                  </pic:spPr>
                </pic:pic>
              </a:graphicData>
            </a:graphic>
          </wp:inline>
        </w:drawing>
      </w:r>
    </w:p>
    <w:p w:rsidR="00882251" w:rsidRDefault="00882251" w:rsidP="00CD7CBE"/>
    <w:p w:rsidR="00882251" w:rsidRDefault="00882251" w:rsidP="00CD7CBE">
      <w:r>
        <w:t>Nun wird der zuvor angelegten Downloadordner unterhalb von G:</w:t>
      </w:r>
      <w:r w:rsidRPr="00882251">
        <w:t>\Prosoz14\Onlineantraege\Uvg</w:t>
      </w:r>
      <w:r>
        <w:t xml:space="preserve">\ geöffnet und die </w:t>
      </w:r>
      <w:proofErr w:type="spellStart"/>
      <w:r>
        <w:t>herunterzuladene</w:t>
      </w:r>
      <w:proofErr w:type="spellEnd"/>
      <w:r>
        <w:t xml:space="preserve"> Datei dort gespeichert:</w:t>
      </w:r>
    </w:p>
    <w:p w:rsidR="00882251" w:rsidRDefault="00882251" w:rsidP="00CD7CBE"/>
    <w:p w:rsidR="00882251" w:rsidRDefault="00BE5ED9" w:rsidP="00CD7CBE">
      <w:r w:rsidRPr="00BE5ED9">
        <w:rPr>
          <w:noProof/>
        </w:rPr>
        <w:drawing>
          <wp:inline distT="0" distB="0" distL="0" distR="0" wp14:anchorId="2248C7FA" wp14:editId="11BF5390">
            <wp:extent cx="6311900" cy="3961765"/>
            <wp:effectExtent l="19050" t="19050" r="12700" b="1968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11900" cy="3961765"/>
                    </a:xfrm>
                    <a:prstGeom prst="rect">
                      <a:avLst/>
                    </a:prstGeom>
                    <a:ln>
                      <a:solidFill>
                        <a:schemeClr val="accent2"/>
                      </a:solidFill>
                    </a:ln>
                  </pic:spPr>
                </pic:pic>
              </a:graphicData>
            </a:graphic>
          </wp:inline>
        </w:drawing>
      </w:r>
    </w:p>
    <w:p w:rsidR="00CD7CBE" w:rsidRDefault="00CD7CBE" w:rsidP="00CD7CBE"/>
    <w:p w:rsidR="00146558" w:rsidRDefault="004E3A2A" w:rsidP="001C5AAF">
      <w:r>
        <w:t xml:space="preserve">Dieser Schritt ist für </w:t>
      </w:r>
      <w:r w:rsidRPr="00BE5ED9">
        <w:rPr>
          <w:rFonts w:ascii="AauxPro OT Black" w:hAnsi="AauxPro OT Black"/>
        </w:rPr>
        <w:t>jede</w:t>
      </w:r>
      <w:r>
        <w:t xml:space="preserve"> im Downloadverzeichnis der ekom21 aufgeführte Datei zu wiederholen.</w:t>
      </w:r>
    </w:p>
    <w:p w:rsidR="004E3A2A" w:rsidRDefault="004E3A2A" w:rsidP="001C5AA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334"/>
        <w:gridCol w:w="8606"/>
      </w:tblGrid>
      <w:tr w:rsidR="004E3A2A" w:rsidTr="00BE5ED9">
        <w:trPr>
          <w:trHeight w:val="1257"/>
        </w:trPr>
        <w:tc>
          <w:tcPr>
            <w:tcW w:w="988" w:type="dxa"/>
            <w:shd w:val="clear" w:color="auto" w:fill="FFFFCC"/>
          </w:tcPr>
          <w:p w:rsidR="004E3A2A" w:rsidRPr="00BE5ED9" w:rsidRDefault="004E3A2A" w:rsidP="004E3A2A">
            <w:pPr>
              <w:jc w:val="left"/>
              <w:rPr>
                <w:sz w:val="8"/>
                <w:szCs w:val="8"/>
              </w:rPr>
            </w:pPr>
          </w:p>
          <w:p w:rsidR="004E3A2A" w:rsidRDefault="004E3A2A" w:rsidP="004E3A2A">
            <w:pPr>
              <w:jc w:val="left"/>
            </w:pPr>
            <w:r w:rsidRPr="004E3A2A">
              <w:rPr>
                <w:rFonts w:ascii="Arial" w:hAnsi="Arial" w:cs="Arial"/>
                <w:noProof/>
                <w:color w:val="0000FF"/>
                <w:sz w:val="27"/>
                <w:szCs w:val="27"/>
              </w:rPr>
              <w:drawing>
                <wp:inline distT="0" distB="0" distL="0" distR="0" wp14:anchorId="60E183C4" wp14:editId="4688CD58">
                  <wp:extent cx="710277" cy="621792"/>
                  <wp:effectExtent l="0" t="0" r="0" b="6985"/>
                  <wp:docPr id="9" name="Grafik 9" descr="Bildergebnis für achtu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achtung">
                            <a:hlinkClick r:id="rId12" tgtFrame="&quot;_blank&quot;"/>
                          </pic:cNvPr>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0277" cy="621792"/>
                          </a:xfrm>
                          <a:prstGeom prst="rect">
                            <a:avLst/>
                          </a:prstGeom>
                          <a:noFill/>
                          <a:ln>
                            <a:noFill/>
                          </a:ln>
                        </pic:spPr>
                      </pic:pic>
                    </a:graphicData>
                  </a:graphic>
                </wp:inline>
              </w:drawing>
            </w:r>
          </w:p>
        </w:tc>
        <w:tc>
          <w:tcPr>
            <w:tcW w:w="8942" w:type="dxa"/>
            <w:shd w:val="clear" w:color="auto" w:fill="FFFFCC"/>
          </w:tcPr>
          <w:p w:rsidR="004E3A2A" w:rsidRDefault="004E3A2A" w:rsidP="00BE5ED9">
            <w:pPr>
              <w:spacing w:line="240" w:lineRule="auto"/>
              <w:jc w:val="left"/>
            </w:pPr>
            <w:r>
              <w:t xml:space="preserve">Bitte unbedingt darauf achten, dass die Dateien </w:t>
            </w:r>
            <w:r w:rsidRPr="004E3A2A">
              <w:rPr>
                <w:rFonts w:ascii="AauxPro OT Black" w:hAnsi="AauxPro OT Black"/>
              </w:rPr>
              <w:t>zu einer Vorgangs-ID auch im gleichnamigen, zuvor angelegten Downloadordner</w:t>
            </w:r>
            <w:r>
              <w:t xml:space="preserve"> gespeichert werden! Andernfalls kann nicht mehr nachvollzogen werden, zu welchem Antrag welche Unterlagen gehören bzw. werden in PROSOZ 14plus Unterlagen ggf. in falschen Vorgängen abgelegt!</w:t>
            </w:r>
          </w:p>
        </w:tc>
      </w:tr>
    </w:tbl>
    <w:p w:rsidR="004E3A2A" w:rsidRDefault="004E3A2A" w:rsidP="001C5AAF"/>
    <w:p w:rsidR="004E3A2A" w:rsidRDefault="00987F54" w:rsidP="001C5AAF">
      <w:r>
        <w:lastRenderedPageBreak/>
        <w:t xml:space="preserve">Wenn alle Dateien zur neuen Anträgen in dem jeweiligen Downloadordner heruntergeladen wurden, kann der </w:t>
      </w:r>
      <w:proofErr w:type="spellStart"/>
      <w:r>
        <w:t>Civento</w:t>
      </w:r>
      <w:proofErr w:type="spellEnd"/>
      <w:r>
        <w:t xml:space="preserve"> Posteingang und der Downloadbereich der eko</w:t>
      </w:r>
      <w:r w:rsidR="007F3D9F">
        <w:t>m21-Webseite geschlossen werden:</w:t>
      </w:r>
    </w:p>
    <w:p w:rsidR="007F3D9F" w:rsidRDefault="007F3D9F" w:rsidP="001C5AAF"/>
    <w:p w:rsidR="007F3D9F" w:rsidRDefault="007F3D9F" w:rsidP="001C5AAF">
      <w:r w:rsidRPr="007F3D9F">
        <w:rPr>
          <w:noProof/>
        </w:rPr>
        <w:drawing>
          <wp:anchor distT="0" distB="0" distL="114300" distR="114300" simplePos="0" relativeHeight="251659264" behindDoc="0" locked="0" layoutInCell="1" allowOverlap="1">
            <wp:simplePos x="0" y="0"/>
            <wp:positionH relativeFrom="column">
              <wp:posOffset>8255</wp:posOffset>
            </wp:positionH>
            <wp:positionV relativeFrom="paragraph">
              <wp:posOffset>31115</wp:posOffset>
            </wp:positionV>
            <wp:extent cx="2902640" cy="1638300"/>
            <wp:effectExtent l="19050" t="19050" r="12065" b="1905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02640" cy="1638300"/>
                    </a:xfrm>
                    <a:prstGeom prst="rect">
                      <a:avLst/>
                    </a:prstGeom>
                    <a:ln>
                      <a:solidFill>
                        <a:schemeClr val="accent2"/>
                      </a:solidFill>
                    </a:ln>
                  </pic:spPr>
                </pic:pic>
              </a:graphicData>
            </a:graphic>
            <wp14:sizeRelH relativeFrom="page">
              <wp14:pctWidth>0</wp14:pctWidth>
            </wp14:sizeRelH>
            <wp14:sizeRelV relativeFrom="page">
              <wp14:pctHeight>0</wp14:pctHeight>
            </wp14:sizeRelV>
          </wp:anchor>
        </w:drawing>
      </w:r>
      <w:r>
        <w:t xml:space="preserve">Im </w:t>
      </w:r>
      <w:proofErr w:type="spellStart"/>
      <w:r>
        <w:t>Civento</w:t>
      </w:r>
      <w:proofErr w:type="spellEnd"/>
      <w:r>
        <w:t xml:space="preserve"> Posteingang meldet man sich über die Schaltfläche „Menü“ und „Abmelden“</w:t>
      </w:r>
      <w:r w:rsidR="00B232A5">
        <w:t xml:space="preserve"> ab. </w:t>
      </w:r>
    </w:p>
    <w:p w:rsidR="00B232A5" w:rsidRDefault="00B232A5" w:rsidP="001C5AAF"/>
    <w:p w:rsidR="00B232A5" w:rsidRDefault="00B232A5" w:rsidP="001C5AAF"/>
    <w:p w:rsidR="007F3D9F" w:rsidRDefault="007F3D9F" w:rsidP="001C5AAF"/>
    <w:p w:rsidR="007F3D9F" w:rsidRDefault="007F3D9F" w:rsidP="001C5AAF"/>
    <w:p w:rsidR="007F3D9F" w:rsidRDefault="007F3D9F" w:rsidP="001C5AAF"/>
    <w:p w:rsidR="007F3D9F" w:rsidRDefault="007F3D9F" w:rsidP="001C5AAF"/>
    <w:p w:rsidR="007F3D9F" w:rsidRDefault="007F3D9F" w:rsidP="001C5AAF"/>
    <w:p w:rsidR="007F3D9F" w:rsidRDefault="007F3D9F" w:rsidP="001C5AAF">
      <w:r w:rsidRPr="007F3D9F">
        <w:rPr>
          <w:noProof/>
        </w:rPr>
        <w:drawing>
          <wp:anchor distT="0" distB="0" distL="114300" distR="114300" simplePos="0" relativeHeight="251660288" behindDoc="0" locked="0" layoutInCell="1" allowOverlap="1">
            <wp:simplePos x="0" y="0"/>
            <wp:positionH relativeFrom="column">
              <wp:posOffset>17780</wp:posOffset>
            </wp:positionH>
            <wp:positionV relativeFrom="paragraph">
              <wp:posOffset>19685</wp:posOffset>
            </wp:positionV>
            <wp:extent cx="2895600" cy="1212483"/>
            <wp:effectExtent l="19050" t="19050" r="19050" b="2603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95600" cy="1212483"/>
                    </a:xfrm>
                    <a:prstGeom prst="rect">
                      <a:avLst/>
                    </a:prstGeom>
                    <a:ln>
                      <a:solidFill>
                        <a:schemeClr val="accent2"/>
                      </a:solidFill>
                    </a:ln>
                  </pic:spPr>
                </pic:pic>
              </a:graphicData>
            </a:graphic>
          </wp:anchor>
        </w:drawing>
      </w:r>
      <w:r>
        <w:t>Das Download-ADT-Portal wird über den Menüpunkt „Abmelden“ verlassen.</w:t>
      </w:r>
    </w:p>
    <w:p w:rsidR="00B232A5" w:rsidRDefault="00B232A5" w:rsidP="001C5AAF"/>
    <w:p w:rsidR="00B232A5" w:rsidRDefault="00B232A5" w:rsidP="00B232A5">
      <w:r>
        <w:t xml:space="preserve">Der Internet-Explorer, in dem der </w:t>
      </w:r>
      <w:proofErr w:type="spellStart"/>
      <w:r>
        <w:t>Civento</w:t>
      </w:r>
      <w:proofErr w:type="spellEnd"/>
      <w:r>
        <w:t xml:space="preserve"> Posteingang und die ekom21-Webseite geöffnet waren, kann danach geschlossen werden.</w:t>
      </w:r>
    </w:p>
    <w:p w:rsidR="00B232A5" w:rsidRDefault="00B232A5" w:rsidP="001C5AAF"/>
    <w:p w:rsidR="007F3D9F" w:rsidRDefault="007F3D9F" w:rsidP="001C5AAF"/>
    <w:p w:rsidR="004D31AF" w:rsidRDefault="004D31AF" w:rsidP="004D31AF">
      <w:pPr>
        <w:pStyle w:val="berschrift3"/>
      </w:pPr>
      <w:r>
        <w:t>Import der Antragsdaten in PROSOZ 14plus</w:t>
      </w:r>
    </w:p>
    <w:p w:rsidR="004E3A2A" w:rsidRDefault="00AA0610" w:rsidP="004D31AF">
      <w:r>
        <w:t>Wenn im Downloadbereich der ekom21 neue Anträge gefunden und die XML- und PDF-Dateien in die angelegten Ordner heruntergeladen wurden, r</w:t>
      </w:r>
      <w:r w:rsidR="004D31AF">
        <w:t xml:space="preserve">uft die Gruppenleitung </w:t>
      </w:r>
      <w:r w:rsidR="00BE5ED9">
        <w:t xml:space="preserve">der UVK </w:t>
      </w:r>
      <w:r>
        <w:t xml:space="preserve">im Anschluss in PROSOZ 14plus </w:t>
      </w:r>
      <w:r w:rsidR="004D31AF">
        <w:t>den Menüpunkt „Administration &gt; Onlineanträge &gt; UVG-Onlineanträge importieren“ auf</w:t>
      </w:r>
      <w:r>
        <w:t xml:space="preserve"> und klickt auf „</w:t>
      </w:r>
      <w:r w:rsidR="00AC1277">
        <w:t>OK</w:t>
      </w:r>
      <w:r>
        <w:t>“.</w:t>
      </w:r>
    </w:p>
    <w:p w:rsidR="00880C73" w:rsidRDefault="00880C73" w:rsidP="004D31AF"/>
    <w:p w:rsidR="00880C73" w:rsidRDefault="00880C73" w:rsidP="004D31AF">
      <w:r w:rsidRPr="00880C73">
        <w:rPr>
          <w:noProof/>
        </w:rPr>
        <w:drawing>
          <wp:inline distT="0" distB="0" distL="0" distR="0" wp14:anchorId="1C0AECB1" wp14:editId="78167244">
            <wp:extent cx="2700000" cy="567227"/>
            <wp:effectExtent l="19050" t="19050" r="24765" b="2349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00000" cy="567227"/>
                    </a:xfrm>
                    <a:prstGeom prst="rect">
                      <a:avLst/>
                    </a:prstGeom>
                    <a:ln>
                      <a:solidFill>
                        <a:schemeClr val="accent2"/>
                      </a:solidFill>
                    </a:ln>
                  </pic:spPr>
                </pic:pic>
              </a:graphicData>
            </a:graphic>
          </wp:inline>
        </w:drawing>
      </w:r>
    </w:p>
    <w:p w:rsidR="00AA0610" w:rsidRDefault="00AA0610" w:rsidP="004D31AF"/>
    <w:p w:rsidR="00AA0610" w:rsidRDefault="00AA0610" w:rsidP="004D31AF">
      <w:r>
        <w:t xml:space="preserve">Nachdem alle vorliegenden Neuanträge importiert wurden, </w:t>
      </w:r>
      <w:r w:rsidR="008F337B">
        <w:t>werden die im Downloadordner G:</w:t>
      </w:r>
      <w:r w:rsidR="008F337B" w:rsidRPr="00882251">
        <w:t>\Prosoz14\Onlineantraege\Uvg</w:t>
      </w:r>
      <w:r w:rsidR="008F337B">
        <w:t xml:space="preserve">\ enthaltenen Unterordner und Dateien automatisch entfernt. Außerdem </w:t>
      </w:r>
      <w:r>
        <w:t>erscheint</w:t>
      </w:r>
      <w:r w:rsidR="004061A2">
        <w:t xml:space="preserve"> eine Meldung mit der Schaltfläche „Protokoll“</w:t>
      </w:r>
      <w:r w:rsidR="00880C73">
        <w:t>. Nachdem diese angeklickt wurde, erscheint ein Protokoll der importierten Anträge.</w:t>
      </w:r>
    </w:p>
    <w:p w:rsidR="00880C73" w:rsidRDefault="00880C73" w:rsidP="004D31AF"/>
    <w:p w:rsidR="00AC1277" w:rsidRDefault="00880C73" w:rsidP="001C5AAF">
      <w:r w:rsidRPr="00880C73">
        <w:rPr>
          <w:noProof/>
        </w:rPr>
        <w:drawing>
          <wp:anchor distT="0" distB="0" distL="114300" distR="114300" simplePos="0" relativeHeight="251661312" behindDoc="0" locked="0" layoutInCell="1" allowOverlap="1">
            <wp:simplePos x="0" y="0"/>
            <wp:positionH relativeFrom="column">
              <wp:posOffset>17780</wp:posOffset>
            </wp:positionH>
            <wp:positionV relativeFrom="paragraph">
              <wp:posOffset>22860</wp:posOffset>
            </wp:positionV>
            <wp:extent cx="2838447" cy="1028700"/>
            <wp:effectExtent l="19050" t="19050" r="19685" b="1905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38447" cy="1028700"/>
                    </a:xfrm>
                    <a:prstGeom prst="rect">
                      <a:avLst/>
                    </a:prstGeom>
                    <a:ln>
                      <a:solidFill>
                        <a:schemeClr val="accent2"/>
                      </a:solidFill>
                    </a:ln>
                  </pic:spPr>
                </pic:pic>
              </a:graphicData>
            </a:graphic>
            <wp14:sizeRelH relativeFrom="page">
              <wp14:pctWidth>0</wp14:pctWidth>
            </wp14:sizeRelH>
            <wp14:sizeRelV relativeFrom="page">
              <wp14:pctHeight>0</wp14:pctHeight>
            </wp14:sizeRelV>
          </wp:anchor>
        </w:drawing>
      </w:r>
    </w:p>
    <w:p w:rsidR="00AC1277" w:rsidRDefault="00AC1277" w:rsidP="001C5AAF">
      <w:r>
        <w:t xml:space="preserve">Über die Schaltfläche „Protokoll“ </w:t>
      </w:r>
      <w:r w:rsidR="00AB50D4">
        <w:t>öffnen sich</w:t>
      </w:r>
      <w:r>
        <w:t xml:space="preserve"> zwei PDF-Dateien. In der einen Datei wird aufgeführt, </w:t>
      </w:r>
      <w:proofErr w:type="spellStart"/>
      <w:r>
        <w:t>wieviele</w:t>
      </w:r>
      <w:proofErr w:type="spellEnd"/>
      <w:r>
        <w:t xml:space="preserve"> Anträge erfolgreich bzw. mit Fehlern importiert wurden</w:t>
      </w:r>
      <w:r w:rsidR="008F337B">
        <w:t>.</w:t>
      </w:r>
    </w:p>
    <w:p w:rsidR="008F337B" w:rsidRDefault="008F337B" w:rsidP="001C5AAF"/>
    <w:p w:rsidR="00AC1277" w:rsidRDefault="00AC1277" w:rsidP="001C5AAF">
      <w:r w:rsidRPr="00AC1277">
        <w:rPr>
          <w:noProof/>
        </w:rPr>
        <w:lastRenderedPageBreak/>
        <w:drawing>
          <wp:inline distT="0" distB="0" distL="0" distR="0" wp14:anchorId="060CE484" wp14:editId="5B108447">
            <wp:extent cx="4351814" cy="1171575"/>
            <wp:effectExtent l="19050" t="19050" r="10795"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78635" cy="1178796"/>
                    </a:xfrm>
                    <a:prstGeom prst="rect">
                      <a:avLst/>
                    </a:prstGeom>
                    <a:ln>
                      <a:solidFill>
                        <a:schemeClr val="accent2"/>
                      </a:solidFill>
                    </a:ln>
                  </pic:spPr>
                </pic:pic>
              </a:graphicData>
            </a:graphic>
          </wp:inline>
        </w:drawing>
      </w:r>
    </w:p>
    <w:p w:rsidR="00AC1277" w:rsidRDefault="00AC1277" w:rsidP="001C5AAF">
      <w:r>
        <w:t xml:space="preserve"> </w:t>
      </w:r>
    </w:p>
    <w:p w:rsidR="00AB50D4" w:rsidRDefault="00AB50D4" w:rsidP="001C5AAF">
      <w:r>
        <w:t xml:space="preserve">In der anderen PDF-Datei werden </w:t>
      </w:r>
      <w:r w:rsidR="008F337B">
        <w:t>alle</w:t>
      </w:r>
      <w:r>
        <w:t xml:space="preserve"> eingelesenen Fälle / Anträge aufgelistet. Hierbei wird wie folgt unterschieden:</w:t>
      </w:r>
    </w:p>
    <w:p w:rsidR="00AB50D4" w:rsidRDefault="00AB50D4" w:rsidP="001C5AAF"/>
    <w:p w:rsidR="00AB50D4" w:rsidRDefault="00AB50D4" w:rsidP="00AB50D4">
      <w:pPr>
        <w:pStyle w:val="berschrift4"/>
      </w:pPr>
      <w:r>
        <w:t>Neu angelegte Vorgänge</w:t>
      </w:r>
    </w:p>
    <w:p w:rsidR="007F3D9F" w:rsidRDefault="00AC1277" w:rsidP="001C5AAF">
      <w:r>
        <w:t xml:space="preserve">Wenn die Beteiligtendaten der importierten Anträge </w:t>
      </w:r>
      <w:r w:rsidRPr="00AA7211">
        <w:rPr>
          <w:u w:val="single"/>
        </w:rPr>
        <w:t>noch nicht</w:t>
      </w:r>
      <w:r>
        <w:t xml:space="preserve"> in PROSOZ 14plus bekannt sind (egal in welchem Sachgebiet), enthält das Protokoll den Hinweis „Angelegte Vorgänge“:</w:t>
      </w:r>
    </w:p>
    <w:p w:rsidR="00AC1277" w:rsidRDefault="00AC1277" w:rsidP="001C5AAF"/>
    <w:p w:rsidR="00AC1277" w:rsidRDefault="00AC1277" w:rsidP="001C5AAF">
      <w:r w:rsidRPr="00AC1277">
        <w:rPr>
          <w:noProof/>
        </w:rPr>
        <w:drawing>
          <wp:inline distT="0" distB="0" distL="0" distR="0" wp14:anchorId="0C142FD0" wp14:editId="71066D31">
            <wp:extent cx="4680000" cy="1686026"/>
            <wp:effectExtent l="19050" t="19050" r="25400" b="2857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80000" cy="1686026"/>
                    </a:xfrm>
                    <a:prstGeom prst="rect">
                      <a:avLst/>
                    </a:prstGeom>
                    <a:ln>
                      <a:solidFill>
                        <a:schemeClr val="accent2"/>
                      </a:solidFill>
                    </a:ln>
                  </pic:spPr>
                </pic:pic>
              </a:graphicData>
            </a:graphic>
          </wp:inline>
        </w:drawing>
      </w:r>
    </w:p>
    <w:p w:rsidR="00AC1277" w:rsidRDefault="00AC1277" w:rsidP="001C5AAF"/>
    <w:p w:rsidR="00AC1277" w:rsidRDefault="00AC1277" w:rsidP="001C5AAF">
      <w:r>
        <w:t>Für diese Anträge legt die Importfunktion im Bereich 200 (</w:t>
      </w:r>
      <w:r w:rsidRPr="00AC1277">
        <w:t>OL Eingangsbereich UVG Onlineanträge</w:t>
      </w:r>
      <w:r>
        <w:t xml:space="preserve">) jeweils </w:t>
      </w:r>
      <w:r w:rsidR="00AA7211">
        <w:t xml:space="preserve">automatisch </w:t>
      </w:r>
      <w:r>
        <w:t xml:space="preserve">einen neuen Vorgang an. </w:t>
      </w:r>
      <w:r w:rsidR="00AB50D4">
        <w:t xml:space="preserve">Es empfiehlt sich, das Importprotokoll auszudrucken und an die zuständigen Sachbearbeiter weiterzugeben, damit diese die neu angelegten Vorgänge bearbeiten. </w:t>
      </w:r>
    </w:p>
    <w:p w:rsidR="00AB50D4" w:rsidRDefault="00AB50D4" w:rsidP="001C5AAF"/>
    <w:p w:rsidR="00AB50D4" w:rsidRDefault="00AB50D4" w:rsidP="00AB50D4">
      <w:pPr>
        <w:pStyle w:val="berschrift4"/>
      </w:pPr>
      <w:r>
        <w:t>Anträge mit bereits bekannten Personen</w:t>
      </w:r>
    </w:p>
    <w:p w:rsidR="00AC1277" w:rsidRDefault="00AC1277" w:rsidP="00AC1277">
      <w:r>
        <w:t xml:space="preserve">Wenn </w:t>
      </w:r>
      <w:r w:rsidR="00AB50D4">
        <w:t>sind (mindestens eine der im Onlineantrag angegeben Personen)</w:t>
      </w:r>
      <w:r>
        <w:t xml:space="preserve"> bereits in PROSOZ 14plus bekannt </w:t>
      </w:r>
      <w:r w:rsidR="00AB50D4">
        <w:t xml:space="preserve">ist, </w:t>
      </w:r>
      <w:r>
        <w:t>egal in welchem Sachgebiet, enthält das Protokoll den Hinweis „Zu prüfende Anträge“:</w:t>
      </w:r>
    </w:p>
    <w:p w:rsidR="00AC1277" w:rsidRDefault="00AC1277" w:rsidP="00AC1277"/>
    <w:p w:rsidR="00AC1277" w:rsidRDefault="00AC1277" w:rsidP="00AC1277">
      <w:r w:rsidRPr="00AC1277">
        <w:rPr>
          <w:noProof/>
        </w:rPr>
        <w:drawing>
          <wp:inline distT="0" distB="0" distL="0" distR="0" wp14:anchorId="50F84593" wp14:editId="7388CB4F">
            <wp:extent cx="4680000" cy="1643651"/>
            <wp:effectExtent l="19050" t="19050" r="25400" b="1397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80000" cy="1643651"/>
                    </a:xfrm>
                    <a:prstGeom prst="rect">
                      <a:avLst/>
                    </a:prstGeom>
                    <a:ln>
                      <a:solidFill>
                        <a:schemeClr val="accent2"/>
                      </a:solidFill>
                    </a:ln>
                  </pic:spPr>
                </pic:pic>
              </a:graphicData>
            </a:graphic>
          </wp:inline>
        </w:drawing>
      </w:r>
    </w:p>
    <w:p w:rsidR="00AC1277" w:rsidRDefault="00AC1277" w:rsidP="001C5AAF"/>
    <w:p w:rsidR="007F3D9F" w:rsidRDefault="00AA7211" w:rsidP="001C5AAF">
      <w:r>
        <w:lastRenderedPageBreak/>
        <w:t>Die Unterscheidung zwischen angelegten Vorgängen und zu prüfenden Anträgen erfolgt, um durch den Import der Antragsdaten nicht unkontrolliert Adressdubletten in der PROSOZ 14plus-Datenbank zu erzeugen.</w:t>
      </w:r>
    </w:p>
    <w:p w:rsidR="00AB50D4" w:rsidRDefault="00AB50D4" w:rsidP="001C5AAF"/>
    <w:p w:rsidR="00AA7211" w:rsidRDefault="00AB50D4" w:rsidP="00AB50D4">
      <w:pPr>
        <w:pStyle w:val="berschrift3"/>
      </w:pPr>
      <w:r>
        <w:t>Bearbeiten neu angelegte</w:t>
      </w:r>
      <w:r w:rsidR="00263416">
        <w:t>r</w:t>
      </w:r>
      <w:r>
        <w:t xml:space="preserve"> Vorgänge</w:t>
      </w:r>
    </w:p>
    <w:p w:rsidR="00AB50D4" w:rsidRDefault="00AB50D4" w:rsidP="001C5AAF">
      <w:r>
        <w:t>Wenn der Import eines Onlineantrags feststellt, dass die im Antrag enthaltenen Personen in der PROSOZ 14plus-Datenbank noch gänzlich unbekannt sind, legt das System im Bereich 200 (</w:t>
      </w:r>
      <w:r w:rsidRPr="00AC1277">
        <w:t>OL Eingangsbereich UVG Onlineanträge</w:t>
      </w:r>
      <w:r>
        <w:t xml:space="preserve">) automatisch einen </w:t>
      </w:r>
      <w:r w:rsidR="0039220F">
        <w:t>neuen Vorgang an:</w:t>
      </w:r>
    </w:p>
    <w:p w:rsidR="0039220F" w:rsidRDefault="0039220F" w:rsidP="001C5AAF"/>
    <w:p w:rsidR="0039220F" w:rsidRDefault="0039220F" w:rsidP="001C5AAF">
      <w:r w:rsidRPr="0039220F">
        <w:rPr>
          <w:noProof/>
        </w:rPr>
        <w:drawing>
          <wp:inline distT="0" distB="0" distL="0" distR="0" wp14:anchorId="03669A1A" wp14:editId="383DE9B6">
            <wp:extent cx="6311900" cy="3937635"/>
            <wp:effectExtent l="19050" t="19050" r="12700" b="2476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11900" cy="3937635"/>
                    </a:xfrm>
                    <a:prstGeom prst="rect">
                      <a:avLst/>
                    </a:prstGeom>
                    <a:ln>
                      <a:solidFill>
                        <a:schemeClr val="accent2"/>
                      </a:solidFill>
                    </a:ln>
                  </pic:spPr>
                </pic:pic>
              </a:graphicData>
            </a:graphic>
          </wp:inline>
        </w:drawing>
      </w:r>
    </w:p>
    <w:p w:rsidR="0039220F" w:rsidRDefault="0039220F" w:rsidP="001C5AAF"/>
    <w:p w:rsidR="0039220F" w:rsidRDefault="0039220F" w:rsidP="001C5AAF">
      <w:r>
        <w:t>In diesem Vorgang sind zunächst folgende Schritte durchzuführen:</w:t>
      </w:r>
    </w:p>
    <w:p w:rsidR="0039220F" w:rsidRDefault="0039220F" w:rsidP="001C5AAF"/>
    <w:p w:rsidR="0039220F" w:rsidRDefault="0039220F" w:rsidP="0039220F">
      <w:pPr>
        <w:pStyle w:val="Listenabsatz"/>
        <w:numPr>
          <w:ilvl w:val="0"/>
          <w:numId w:val="1"/>
        </w:numPr>
      </w:pPr>
      <w:r>
        <w:t>Online-Eingangsbereich 200 abändern auf den Bereich des zuständigen Sachbearbeiters</w:t>
      </w:r>
    </w:p>
    <w:p w:rsidR="0039220F" w:rsidRDefault="0039220F" w:rsidP="0039220F">
      <w:pPr>
        <w:pStyle w:val="Listenabsatz"/>
        <w:numPr>
          <w:ilvl w:val="0"/>
          <w:numId w:val="1"/>
        </w:numPr>
      </w:pPr>
      <w:r>
        <w:t>Aktenzeichen generieren</w:t>
      </w:r>
    </w:p>
    <w:p w:rsidR="0039220F" w:rsidRDefault="0039220F" w:rsidP="0039220F">
      <w:pPr>
        <w:pStyle w:val="Listenabsatz"/>
        <w:numPr>
          <w:ilvl w:val="0"/>
          <w:numId w:val="1"/>
        </w:numPr>
      </w:pPr>
      <w:r>
        <w:t>Zuständigen Sachbearbeiter auswählen</w:t>
      </w:r>
    </w:p>
    <w:p w:rsidR="0039220F" w:rsidRDefault="0039220F" w:rsidP="0039220F">
      <w:pPr>
        <w:pStyle w:val="Listenabsatz"/>
        <w:numPr>
          <w:ilvl w:val="0"/>
          <w:numId w:val="1"/>
        </w:numPr>
      </w:pPr>
      <w:r>
        <w:t>Statis</w:t>
      </w:r>
      <w:r w:rsidR="00754181">
        <w:t>tischen Bezirk (_UVK) auswählen</w:t>
      </w:r>
    </w:p>
    <w:p w:rsidR="0039220F" w:rsidRDefault="0039220F" w:rsidP="0039220F"/>
    <w:p w:rsidR="0039220F" w:rsidRDefault="0039220F" w:rsidP="0039220F">
      <w:r>
        <w:t>Danach kann der Vorgang mit OK gespeichert werden und wird ab diesem Zeitpunkt im richtigen Bereich geführt. Dort kann er fachlich weiterbearbeitet werden.</w:t>
      </w:r>
      <w:r w:rsidR="00754181">
        <w:t xml:space="preserve"> Für den zuständigen Sachbearbeiter empfiehlt sich zunächst eine Kontrolle, ob die Daten der beteiligten Personen vollständig sind. Der Antrag als PDF-Datei sowie weitere mit dem Onlineantrag gelieferte Dokumente sind in einem automatisch erstellten Chronikeintrag vorhanden.</w:t>
      </w:r>
    </w:p>
    <w:p w:rsidR="00754181" w:rsidRDefault="00754181" w:rsidP="00754181">
      <w:pPr>
        <w:pStyle w:val="berschrift3"/>
      </w:pPr>
      <w:r>
        <w:lastRenderedPageBreak/>
        <w:t>Funktion „UVG-Anträge prüfen“</w:t>
      </w:r>
    </w:p>
    <w:p w:rsidR="00754181" w:rsidRDefault="00754181" w:rsidP="00754181">
      <w:r>
        <w:t xml:space="preserve">Wenn </w:t>
      </w:r>
      <w:r w:rsidR="00A74929">
        <w:t>beim</w:t>
      </w:r>
      <w:r>
        <w:t xml:space="preserve"> Import eines Onlineantrags </w:t>
      </w:r>
      <w:r w:rsidR="00A74929">
        <w:t xml:space="preserve">bereits in PROSOZ 14plus bekannte Personen ermittelt werden, wird zunächst </w:t>
      </w:r>
      <w:r w:rsidR="00A74929" w:rsidRPr="00895018">
        <w:rPr>
          <w:u w:val="single"/>
        </w:rPr>
        <w:t>kein</w:t>
      </w:r>
      <w:r w:rsidR="00A74929">
        <w:t xml:space="preserve"> neuer</w:t>
      </w:r>
      <w:r>
        <w:t xml:space="preserve"> Vorgang an</w:t>
      </w:r>
      <w:r w:rsidR="00A74929">
        <w:t>gelegt. Erscheint im Importprotokoll (s. oben) ein entsprechender Hinweis, muss nach dem Import die Programmfunktion „UVG-Anträge prüfen“ aufgerufen werden:</w:t>
      </w:r>
    </w:p>
    <w:p w:rsidR="00A74929" w:rsidRDefault="00A74929" w:rsidP="00754181"/>
    <w:p w:rsidR="00A74929" w:rsidRDefault="00A74929" w:rsidP="00754181">
      <w:r w:rsidRPr="00A74929">
        <w:rPr>
          <w:noProof/>
        </w:rPr>
        <w:drawing>
          <wp:inline distT="0" distB="0" distL="0" distR="0" wp14:anchorId="38008E7E" wp14:editId="7CE9BA44">
            <wp:extent cx="2700000" cy="583787"/>
            <wp:effectExtent l="19050" t="19050" r="24765" b="2603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00000" cy="583787"/>
                    </a:xfrm>
                    <a:prstGeom prst="rect">
                      <a:avLst/>
                    </a:prstGeom>
                    <a:ln>
                      <a:solidFill>
                        <a:schemeClr val="accent2"/>
                      </a:solidFill>
                    </a:ln>
                  </pic:spPr>
                </pic:pic>
              </a:graphicData>
            </a:graphic>
          </wp:inline>
        </w:drawing>
      </w:r>
    </w:p>
    <w:p w:rsidR="0039220F" w:rsidRDefault="0039220F" w:rsidP="001C5AAF"/>
    <w:p w:rsidR="00A74929" w:rsidRPr="00EE3CA4" w:rsidRDefault="00895018" w:rsidP="001C5AAF">
      <w:pPr>
        <w:rPr>
          <w:i/>
        </w:rPr>
      </w:pPr>
      <w:r>
        <w:t>N</w:t>
      </w:r>
      <w:r w:rsidR="00EE3CA4">
        <w:t>ach einer kurzen Wartezeit</w:t>
      </w:r>
      <w:r>
        <w:t xml:space="preserve"> wird</w:t>
      </w:r>
      <w:r w:rsidR="00EE3CA4">
        <w:t xml:space="preserve"> ein Suchfenster</w:t>
      </w:r>
      <w:r>
        <w:t xml:space="preserve"> angezeigt</w:t>
      </w:r>
      <w:r w:rsidR="00EE3CA4">
        <w:t xml:space="preserve">, in das Namenskriterien zur Filterung der zu prüfenden Anträge eingetragen werden können. </w:t>
      </w:r>
      <w:r w:rsidR="00EE3CA4" w:rsidRPr="00EE3CA4">
        <w:rPr>
          <w:i/>
        </w:rPr>
        <w:t xml:space="preserve">Derzeit empfiehlt es sich, </w:t>
      </w:r>
      <w:r w:rsidR="00EE3CA4" w:rsidRPr="00EE3CA4">
        <w:rPr>
          <w:i/>
          <w:u w:val="single"/>
        </w:rPr>
        <w:t>ohne</w:t>
      </w:r>
      <w:r w:rsidR="00EE3CA4" w:rsidRPr="00EE3CA4">
        <w:rPr>
          <w:i/>
        </w:rPr>
        <w:t xml:space="preserve"> Kriterien </w:t>
      </w:r>
      <w:r>
        <w:rPr>
          <w:i/>
        </w:rPr>
        <w:t>zu suchen</w:t>
      </w:r>
      <w:r w:rsidR="00EE3CA4" w:rsidRPr="00EE3CA4">
        <w:rPr>
          <w:i/>
        </w:rPr>
        <w:t>.</w:t>
      </w:r>
    </w:p>
    <w:p w:rsidR="00E14BFC" w:rsidRDefault="00EE3CA4" w:rsidP="001C5AAF">
      <w:r>
        <w:t xml:space="preserve">Im Suchergebnis werden alle </w:t>
      </w:r>
      <w:r w:rsidR="00E14BFC">
        <w:t xml:space="preserve">zu prüfenden </w:t>
      </w:r>
      <w:r>
        <w:t>Anträge angezeigt</w:t>
      </w:r>
      <w:r w:rsidR="00E14BFC">
        <w:t>:</w:t>
      </w:r>
    </w:p>
    <w:p w:rsidR="00E14BFC" w:rsidRDefault="00E14BFC" w:rsidP="001C5AAF"/>
    <w:p w:rsidR="00EE3CA4" w:rsidRDefault="00E14BFC" w:rsidP="001C5AAF">
      <w:r w:rsidRPr="00E14BFC">
        <w:rPr>
          <w:noProof/>
        </w:rPr>
        <w:drawing>
          <wp:inline distT="0" distB="0" distL="0" distR="0" wp14:anchorId="10337D8D" wp14:editId="4EE9041E">
            <wp:extent cx="6311900" cy="1685925"/>
            <wp:effectExtent l="19050" t="19050" r="12700" b="2857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7280"/>
                    <a:stretch/>
                  </pic:blipFill>
                  <pic:spPr bwMode="auto">
                    <a:xfrm>
                      <a:off x="0" y="0"/>
                      <a:ext cx="6311900" cy="1685925"/>
                    </a:xfrm>
                    <a:prstGeom prst="rect">
                      <a:avLst/>
                    </a:prstGeom>
                    <a:ln w="9525" cap="flat" cmpd="sng" algn="ctr">
                      <a:solidFill>
                        <a:srgbClr val="C0504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263416" w:rsidRDefault="00263416" w:rsidP="001C5AAF"/>
    <w:p w:rsidR="00E14BFC" w:rsidRDefault="00E14BFC" w:rsidP="001C5AAF">
      <w:r>
        <w:t>Mit „Ändern“ kann man die wichtigsten Personendaten des jeweils markierten Antrags einsehen, bei bereits bekannten Personen wird ein entsprechender Hinweis angegeben:</w:t>
      </w:r>
    </w:p>
    <w:p w:rsidR="00E14BFC" w:rsidRDefault="00E14BFC" w:rsidP="001C5AAF"/>
    <w:p w:rsidR="00E14BFC" w:rsidRDefault="00E14BFC" w:rsidP="001C5AAF">
      <w:r w:rsidRPr="00E14BFC">
        <w:rPr>
          <w:noProof/>
        </w:rPr>
        <w:drawing>
          <wp:inline distT="0" distB="0" distL="0" distR="0" wp14:anchorId="5A2992F9" wp14:editId="0AED00AF">
            <wp:extent cx="4882189" cy="3200400"/>
            <wp:effectExtent l="19050" t="19050" r="13970" b="190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r="44014"/>
                    <a:stretch/>
                  </pic:blipFill>
                  <pic:spPr bwMode="auto">
                    <a:xfrm>
                      <a:off x="0" y="0"/>
                      <a:ext cx="4927720" cy="3230247"/>
                    </a:xfrm>
                    <a:prstGeom prst="rect">
                      <a:avLst/>
                    </a:prstGeom>
                    <a:ln>
                      <a:solidFill>
                        <a:schemeClr val="accent2"/>
                      </a:solidFill>
                    </a:ln>
                    <a:extLst>
                      <a:ext uri="{53640926-AAD7-44D8-BBD7-CCE9431645EC}">
                        <a14:shadowObscured xmlns:a14="http://schemas.microsoft.com/office/drawing/2010/main"/>
                      </a:ext>
                    </a:extLst>
                  </pic:spPr>
                </pic:pic>
              </a:graphicData>
            </a:graphic>
          </wp:inline>
        </w:drawing>
      </w:r>
    </w:p>
    <w:p w:rsidR="00AC3972" w:rsidRDefault="00AC3972" w:rsidP="001C5AAF">
      <w:r>
        <w:lastRenderedPageBreak/>
        <w:t>Um festzustellen, ob es sich tatsächlich um bereits vorhandene Personen handelt und wo diese ggf. beteiligte sind, kann man wie gewohnt die Vorgangssuche oder die Adresssuche verwenden. Das hier angezeigte Fenster</w:t>
      </w:r>
      <w:r w:rsidR="00D04237">
        <w:t xml:space="preserve"> zum „Anträge prüfen“</w:t>
      </w:r>
      <w:r>
        <w:t xml:space="preserve"> kann </w:t>
      </w:r>
      <w:r w:rsidR="00D04237">
        <w:t>währenddessen</w:t>
      </w:r>
      <w:r>
        <w:t xml:space="preserve"> im Hintergrund geöffnet bleiben.</w:t>
      </w:r>
    </w:p>
    <w:p w:rsidR="00AC3972" w:rsidRDefault="00AC3972" w:rsidP="001C5AAF"/>
    <w:p w:rsidR="00AC3972" w:rsidRDefault="00AC3972" w:rsidP="001C5AAF">
      <w:r w:rsidRPr="00AC3972">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15875</wp:posOffset>
            </wp:positionV>
            <wp:extent cx="873125" cy="1838325"/>
            <wp:effectExtent l="19050" t="19050" r="22225" b="28575"/>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873125" cy="1838325"/>
                    </a:xfrm>
                    <a:prstGeom prst="rect">
                      <a:avLst/>
                    </a:prstGeom>
                    <a:ln>
                      <a:solidFill>
                        <a:schemeClr val="accent2"/>
                      </a:solidFill>
                    </a:ln>
                  </pic:spPr>
                </pic:pic>
              </a:graphicData>
            </a:graphic>
            <wp14:sizeRelH relativeFrom="page">
              <wp14:pctWidth>0</wp14:pctWidth>
            </wp14:sizeRelH>
            <wp14:sizeRelV relativeFrom="page">
              <wp14:pctHeight>0</wp14:pctHeight>
            </wp14:sizeRelV>
          </wp:anchor>
        </w:drawing>
      </w:r>
      <w:r>
        <w:t>Hilfreich bei der Prüfung, ob es sich wirklich um dieselben Personen handelt, ist ggf. auch die PDF-Datei mit den vollständigen Antragsdaten. Diese ist als Anlage zum Antrag mit importiert worden und kann über die Schaltfläche „Anlage öffnen“ am rechten Bildrand eingesehen werden.</w:t>
      </w:r>
    </w:p>
    <w:p w:rsidR="00AC3972" w:rsidRDefault="00AC3972" w:rsidP="001C5AAF"/>
    <w:p w:rsidR="00D04237" w:rsidRDefault="00AC3972" w:rsidP="001C5AAF">
      <w:r>
        <w:t>Im Anschluss muss man entscheiden, wie mit dem importieren Antrag umgegangen werden soll. Dafür sind die Schaltflächen „Anlage kopieren“ und „Vorgang anlegen“ zu verwenden.</w:t>
      </w:r>
      <w:r w:rsidR="00D04237">
        <w:t xml:space="preserve"> Solange man diese Entscheidung nicht getroffen hat, kann man die „Anträge prüfen“ – Funktion auch nur mit „Abbrechen“ verlassen.</w:t>
      </w:r>
    </w:p>
    <w:p w:rsidR="00D04237" w:rsidRDefault="00D04237" w:rsidP="001C5AAF"/>
    <w:p w:rsidR="00D04237" w:rsidRDefault="00D04237" w:rsidP="001C5AAF"/>
    <w:p w:rsidR="00D04237" w:rsidRDefault="00D04237" w:rsidP="00533209">
      <w:pPr>
        <w:pStyle w:val="berschrift4"/>
      </w:pPr>
      <w:r>
        <w:t>Anlage kopieren</w:t>
      </w:r>
    </w:p>
    <w:p w:rsidR="00D04237" w:rsidRDefault="00D04237" w:rsidP="001C5AAF">
      <w:r>
        <w:t xml:space="preserve">Hat man sich entschieden, keinen neuen Vorgang anzulegen, weil es für diesen jungen Menschen in der Unterhaltsvorschusskasse bereits einen Vorgang gibt (z.B. einen Vorgang im Archivbereich, der durch den online gestellten Antrag </w:t>
      </w:r>
      <w:proofErr w:type="gramStart"/>
      <w:r>
        <w:t>wieder auflebt</w:t>
      </w:r>
      <w:proofErr w:type="gramEnd"/>
      <w:r>
        <w:t>)</w:t>
      </w:r>
      <w:r w:rsidR="00565955">
        <w:t>, dann sind nur die Anlagen aus dem Onlineantrag in den bestehenden Vorgang zu übernehmen.</w:t>
      </w:r>
    </w:p>
    <w:p w:rsidR="00565955" w:rsidRDefault="00565955" w:rsidP="001C5AAF"/>
    <w:p w:rsidR="00565955" w:rsidRDefault="00565955" w:rsidP="001C5AAF">
      <w:r w:rsidRPr="00565955">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29845</wp:posOffset>
            </wp:positionV>
            <wp:extent cx="3246120" cy="1152525"/>
            <wp:effectExtent l="19050" t="19050" r="11430" b="28575"/>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3246120" cy="1152525"/>
                    </a:xfrm>
                    <a:prstGeom prst="rect">
                      <a:avLst/>
                    </a:prstGeom>
                    <a:ln>
                      <a:solidFill>
                        <a:schemeClr val="accent2"/>
                      </a:solidFill>
                    </a:ln>
                  </pic:spPr>
                </pic:pic>
              </a:graphicData>
            </a:graphic>
            <wp14:sizeRelH relativeFrom="page">
              <wp14:pctWidth>0</wp14:pctWidth>
            </wp14:sizeRelH>
            <wp14:sizeRelV relativeFrom="page">
              <wp14:pctHeight>0</wp14:pctHeight>
            </wp14:sizeRelV>
          </wp:anchor>
        </w:drawing>
      </w:r>
      <w:r>
        <w:t>Hierfür ist die Schaltfläche „Anlage kopieren“ vorgesehen. Sie kopiert die PDF-Datei(en) aus dem Onlineantrag in die Zwischenablage und zeigt nach dem Anklicken an, was danach zu tun ist.</w:t>
      </w:r>
    </w:p>
    <w:p w:rsidR="00565955" w:rsidRDefault="00565955" w:rsidP="001C5AAF"/>
    <w:p w:rsidR="00565955" w:rsidRDefault="00565955" w:rsidP="001C5AAF"/>
    <w:p w:rsidR="00565955" w:rsidRDefault="00565955" w:rsidP="001C5AAF">
      <w:r>
        <w:t xml:space="preserve">Somit kann nun das Fenster mit den angezeigten Personen </w:t>
      </w:r>
      <w:r w:rsidR="009901A4">
        <w:t xml:space="preserve">dieses Antrags </w:t>
      </w:r>
      <w:r>
        <w:t>abgebrochen werden.</w:t>
      </w:r>
    </w:p>
    <w:p w:rsidR="00565955" w:rsidRDefault="00565955" w:rsidP="001C5AAF"/>
    <w:p w:rsidR="00565955" w:rsidRDefault="00565955" w:rsidP="001C5AAF">
      <w:r>
        <w:t xml:space="preserve">Danach muss zum bestehenden UVG-Vorgang gewechselt und die Chronik aufgerufen werden. Dort erscheint rechts die Schaltfläche „Einfügen“, </w:t>
      </w:r>
      <w:r w:rsidR="009901A4">
        <w:t>hiermit</w:t>
      </w:r>
      <w:r>
        <w:t xml:space="preserve"> wird ein neuer Chronikeintrag mit den Anlagen erzeugt.</w:t>
      </w:r>
    </w:p>
    <w:p w:rsidR="00565955" w:rsidRDefault="00565955" w:rsidP="0056595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334"/>
        <w:gridCol w:w="8606"/>
      </w:tblGrid>
      <w:tr w:rsidR="00565955" w:rsidTr="00527F43">
        <w:trPr>
          <w:trHeight w:val="1257"/>
        </w:trPr>
        <w:tc>
          <w:tcPr>
            <w:tcW w:w="988" w:type="dxa"/>
            <w:shd w:val="clear" w:color="auto" w:fill="FFFFCC"/>
          </w:tcPr>
          <w:p w:rsidR="00565955" w:rsidRPr="00BE5ED9" w:rsidRDefault="00565955" w:rsidP="00527F43">
            <w:pPr>
              <w:jc w:val="left"/>
              <w:rPr>
                <w:sz w:val="8"/>
                <w:szCs w:val="8"/>
              </w:rPr>
            </w:pPr>
          </w:p>
          <w:p w:rsidR="00565955" w:rsidRDefault="00565955" w:rsidP="00527F43">
            <w:pPr>
              <w:jc w:val="left"/>
            </w:pPr>
            <w:r w:rsidRPr="004E3A2A">
              <w:rPr>
                <w:rFonts w:ascii="Arial" w:hAnsi="Arial" w:cs="Arial"/>
                <w:noProof/>
                <w:color w:val="0000FF"/>
                <w:sz w:val="27"/>
                <w:szCs w:val="27"/>
              </w:rPr>
              <w:drawing>
                <wp:inline distT="0" distB="0" distL="0" distR="0" wp14:anchorId="6D736F4A" wp14:editId="008151F6">
                  <wp:extent cx="710277" cy="621792"/>
                  <wp:effectExtent l="0" t="0" r="0" b="6985"/>
                  <wp:docPr id="23" name="Grafik 23" descr="Bildergebnis für achtu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achtung">
                            <a:hlinkClick r:id="rId12" tgtFrame="&quot;_blank&quot;"/>
                          </pic:cNvPr>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0277" cy="621792"/>
                          </a:xfrm>
                          <a:prstGeom prst="rect">
                            <a:avLst/>
                          </a:prstGeom>
                          <a:noFill/>
                          <a:ln>
                            <a:noFill/>
                          </a:ln>
                        </pic:spPr>
                      </pic:pic>
                    </a:graphicData>
                  </a:graphic>
                </wp:inline>
              </w:drawing>
            </w:r>
          </w:p>
        </w:tc>
        <w:tc>
          <w:tcPr>
            <w:tcW w:w="8942" w:type="dxa"/>
            <w:shd w:val="clear" w:color="auto" w:fill="FFFFCC"/>
          </w:tcPr>
          <w:p w:rsidR="00565955" w:rsidRDefault="00565955" w:rsidP="00EB7F70">
            <w:pPr>
              <w:spacing w:line="240" w:lineRule="auto"/>
              <w:jc w:val="left"/>
            </w:pPr>
            <w:r>
              <w:t xml:space="preserve">Wenn die Anlagen eines Onlineantrags in die Zwischenablage kopiert wurden, darf bis zum Einfügen in die Chronik des bestehenden Vorgangs nichts </w:t>
            </w:r>
            <w:proofErr w:type="gramStart"/>
            <w:r>
              <w:t>anderes</w:t>
            </w:r>
            <w:proofErr w:type="gramEnd"/>
            <w:r>
              <w:t xml:space="preserve"> in die Zwischenablage kopiert werden! </w:t>
            </w:r>
          </w:p>
        </w:tc>
      </w:tr>
    </w:tbl>
    <w:p w:rsidR="009901A4" w:rsidRDefault="009901A4" w:rsidP="00565955"/>
    <w:p w:rsidR="00B75ABF" w:rsidRDefault="009901A4" w:rsidP="00565955">
      <w:r>
        <w:t>Der bestehende Vorgang kann nun wie gewohnt bearbeitet werden. An den Personendaten dieses Vorgangs wurde nichts geändert, es empfiehlt sich aber</w:t>
      </w:r>
      <w:r w:rsidR="00EB7F70">
        <w:t xml:space="preserve"> unbedingt</w:t>
      </w:r>
      <w:r>
        <w:t>, diese Daten mit den in der Anlage e</w:t>
      </w:r>
      <w:r w:rsidR="00EB7F70">
        <w:t>nthaltenen Angaben abzugleichen! Ggf. haben sich die Anschriften oder andere Detaildaten der Personen geändert.</w:t>
      </w:r>
    </w:p>
    <w:p w:rsidR="00EB7F70" w:rsidRDefault="00EB7F70" w:rsidP="00565955">
      <w:r>
        <w:lastRenderedPageBreak/>
        <w:t xml:space="preserve">Im Suchergebnis der Funktion „Anträge prüfen“ kann der Eintrag zu diesem Antrag - </w:t>
      </w:r>
      <w:r w:rsidRPr="00EB7F70">
        <w:rPr>
          <w:u w:val="single"/>
        </w:rPr>
        <w:t>nach</w:t>
      </w:r>
      <w:r>
        <w:t xml:space="preserve"> dem Einfügen der Anlagen im bestehenden Vorgang - mit der Schaltfläche „Löschen“ entfernt werden.</w:t>
      </w:r>
    </w:p>
    <w:p w:rsidR="00EB7F70" w:rsidRDefault="00EB7F70" w:rsidP="00565955"/>
    <w:p w:rsidR="00EB7F70" w:rsidRDefault="00EB7F70" w:rsidP="00EB7F70">
      <w:pPr>
        <w:pStyle w:val="berschrift4"/>
      </w:pPr>
      <w:r>
        <w:t>Vorgang anlegen</w:t>
      </w:r>
    </w:p>
    <w:p w:rsidR="00EB7F70" w:rsidRDefault="00EB7F70" w:rsidP="00EB7F70">
      <w:pPr>
        <w:pStyle w:val="Standardeinzug"/>
        <w:ind w:left="0"/>
      </w:pPr>
      <w:r>
        <w:t>Hat man sich entschieden, trotz der bereits bekannten Personen aus dem geprüften Onlineantrag einen neuen Vorgang anzulegen, ist im „Anträge prüfen“-Fenster die Schaltfläche „Vorgang anlegen“ anzuklicken.</w:t>
      </w:r>
    </w:p>
    <w:p w:rsidR="00A1121A" w:rsidRDefault="00A1121A" w:rsidP="00EB7F70">
      <w:pPr>
        <w:pStyle w:val="Standardeinzug"/>
        <w:ind w:left="0"/>
      </w:pPr>
    </w:p>
    <w:p w:rsidR="00A1121A" w:rsidRDefault="00A1121A" w:rsidP="00EB7F70">
      <w:pPr>
        <w:pStyle w:val="Standardeinzug"/>
        <w:ind w:left="0"/>
      </w:pPr>
      <w:r>
        <w:t>Zunächst erscheint eine Rückfrage, ob man den Vorgang wirklich anlegen und damit den Eintrag in der „Anträge prüfen“ - Funktion entfernen möchte. Diese Rückfrage ist mit „Ja“ zu bestätigen:</w:t>
      </w:r>
    </w:p>
    <w:p w:rsidR="00A1121A" w:rsidRDefault="00A1121A" w:rsidP="00EB7F70">
      <w:pPr>
        <w:pStyle w:val="Standardeinzug"/>
        <w:ind w:left="0"/>
      </w:pPr>
    </w:p>
    <w:p w:rsidR="00A1121A" w:rsidRDefault="00A1121A" w:rsidP="00EB7F70">
      <w:pPr>
        <w:pStyle w:val="Standardeinzug"/>
        <w:ind w:left="0"/>
      </w:pPr>
      <w:r w:rsidRPr="00A1121A">
        <w:rPr>
          <w:noProof/>
        </w:rPr>
        <w:drawing>
          <wp:inline distT="0" distB="0" distL="0" distR="0" wp14:anchorId="4A6F5D79" wp14:editId="35041DE8">
            <wp:extent cx="5020376" cy="1400370"/>
            <wp:effectExtent l="19050" t="19050" r="27940" b="2857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020376" cy="1400370"/>
                    </a:xfrm>
                    <a:prstGeom prst="rect">
                      <a:avLst/>
                    </a:prstGeom>
                    <a:ln>
                      <a:solidFill>
                        <a:schemeClr val="accent2"/>
                      </a:solidFill>
                    </a:ln>
                  </pic:spPr>
                </pic:pic>
              </a:graphicData>
            </a:graphic>
          </wp:inline>
        </w:drawing>
      </w:r>
    </w:p>
    <w:p w:rsidR="00A1121A" w:rsidRDefault="00A1121A" w:rsidP="00EB7F70">
      <w:pPr>
        <w:pStyle w:val="Standardeinzug"/>
        <w:ind w:left="0"/>
      </w:pPr>
    </w:p>
    <w:p w:rsidR="00A1121A" w:rsidRDefault="00A1121A" w:rsidP="00EB7F70">
      <w:pPr>
        <w:pStyle w:val="Standardeinzug"/>
        <w:ind w:left="0"/>
      </w:pPr>
      <w:r>
        <w:t>Anschließend wird gemeldet, dass der Vorgang angelegt wurde und gefragt, ob man diesen jetzt bearbeiten möchte:</w:t>
      </w:r>
    </w:p>
    <w:p w:rsidR="00A1121A" w:rsidRDefault="00A1121A" w:rsidP="00EB7F70">
      <w:pPr>
        <w:pStyle w:val="Standardeinzug"/>
        <w:ind w:left="0"/>
      </w:pPr>
    </w:p>
    <w:p w:rsidR="00A1121A" w:rsidRDefault="00A1121A" w:rsidP="00EB7F70">
      <w:pPr>
        <w:pStyle w:val="Standardeinzug"/>
        <w:ind w:left="0"/>
      </w:pPr>
      <w:r w:rsidRPr="00A1121A">
        <w:rPr>
          <w:noProof/>
        </w:rPr>
        <w:drawing>
          <wp:inline distT="0" distB="0" distL="0" distR="0" wp14:anchorId="36C94BE7" wp14:editId="57F7C2EF">
            <wp:extent cx="6311900" cy="1281430"/>
            <wp:effectExtent l="19050" t="19050" r="12700" b="1397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311900" cy="1281430"/>
                    </a:xfrm>
                    <a:prstGeom prst="rect">
                      <a:avLst/>
                    </a:prstGeom>
                    <a:ln>
                      <a:solidFill>
                        <a:schemeClr val="accent2"/>
                      </a:solidFill>
                    </a:ln>
                  </pic:spPr>
                </pic:pic>
              </a:graphicData>
            </a:graphic>
          </wp:inline>
        </w:drawing>
      </w:r>
    </w:p>
    <w:p w:rsidR="00A1121A" w:rsidRDefault="00A1121A" w:rsidP="00EB7F70">
      <w:pPr>
        <w:pStyle w:val="Standardeinzug"/>
        <w:ind w:left="0"/>
      </w:pPr>
    </w:p>
    <w:p w:rsidR="00EB7F70" w:rsidRDefault="00A1121A" w:rsidP="00EB7F70">
      <w:pPr>
        <w:pStyle w:val="Standardeinzug"/>
        <w:ind w:left="0"/>
      </w:pPr>
      <w:r>
        <w:t>Klickt man auf „Ja“, öffnet sich der Vorgang sofort. Mit „Nein“ wird er im Bereich 200 (</w:t>
      </w:r>
      <w:r w:rsidRPr="00AC1277">
        <w:t>OL Eingangsbereich UVG Onlineanträge</w:t>
      </w:r>
      <w:r>
        <w:t>) angelegt und kann später zur weiteren Bearbeitung aufgerufen werden.</w:t>
      </w:r>
    </w:p>
    <w:p w:rsidR="00A1121A" w:rsidRDefault="00A1121A" w:rsidP="00EB7F70">
      <w:pPr>
        <w:pStyle w:val="Standardeinzug"/>
        <w:ind w:left="0"/>
      </w:pPr>
    </w:p>
    <w:p w:rsidR="00A1121A" w:rsidRDefault="00A1121A" w:rsidP="00EB7F70">
      <w:pPr>
        <w:pStyle w:val="Standardeinzug"/>
        <w:ind w:left="0"/>
      </w:pPr>
      <w:r>
        <w:t>In dem auf diese Weise angelegten Vorgang sind zunächst - wie bei der automatischen Neuanlage direkt nach dem Import - die folgenden Schritte dur</w:t>
      </w:r>
      <w:bookmarkStart w:id="0" w:name="_GoBack"/>
      <w:bookmarkEnd w:id="0"/>
      <w:r>
        <w:t>chzuführen:</w:t>
      </w:r>
    </w:p>
    <w:p w:rsidR="00A1121A" w:rsidRDefault="00A1121A" w:rsidP="00EB7F70">
      <w:pPr>
        <w:pStyle w:val="Standardeinzug"/>
        <w:ind w:left="0"/>
      </w:pPr>
    </w:p>
    <w:p w:rsidR="00A1121A" w:rsidRDefault="00A1121A" w:rsidP="00A1121A">
      <w:pPr>
        <w:pStyle w:val="Listenabsatz"/>
        <w:numPr>
          <w:ilvl w:val="0"/>
          <w:numId w:val="2"/>
        </w:numPr>
      </w:pPr>
      <w:r>
        <w:t>Online-Eingangsbereich 200 abändern auf den Bereich des zuständigen Sachbearbeiters</w:t>
      </w:r>
    </w:p>
    <w:p w:rsidR="00A1121A" w:rsidRDefault="00A1121A" w:rsidP="00A1121A">
      <w:pPr>
        <w:pStyle w:val="Listenabsatz"/>
        <w:numPr>
          <w:ilvl w:val="0"/>
          <w:numId w:val="2"/>
        </w:numPr>
      </w:pPr>
      <w:r>
        <w:t>Aktenzeichen generieren</w:t>
      </w:r>
    </w:p>
    <w:p w:rsidR="00A1121A" w:rsidRDefault="00A1121A" w:rsidP="00A1121A">
      <w:pPr>
        <w:pStyle w:val="Listenabsatz"/>
        <w:numPr>
          <w:ilvl w:val="0"/>
          <w:numId w:val="2"/>
        </w:numPr>
      </w:pPr>
      <w:r>
        <w:t>Zuständigen Sachbearbeiter auswählen</w:t>
      </w:r>
    </w:p>
    <w:p w:rsidR="00A1121A" w:rsidRDefault="00A1121A" w:rsidP="00A1121A">
      <w:pPr>
        <w:pStyle w:val="Listenabsatz"/>
        <w:numPr>
          <w:ilvl w:val="0"/>
          <w:numId w:val="2"/>
        </w:numPr>
      </w:pPr>
      <w:r>
        <w:t>Statistischen Bezirk (_UVK) auswählen</w:t>
      </w:r>
    </w:p>
    <w:p w:rsidR="00A1121A" w:rsidRDefault="00A1121A" w:rsidP="00EB7F70">
      <w:pPr>
        <w:pStyle w:val="Standardeinzug"/>
        <w:ind w:left="0"/>
      </w:pPr>
    </w:p>
    <w:p w:rsidR="00A1121A" w:rsidRDefault="00A1121A" w:rsidP="00EB7F70">
      <w:pPr>
        <w:pStyle w:val="Standardeinzug"/>
        <w:ind w:left="0"/>
      </w:pPr>
      <w:r>
        <w:t>Der über die „Anträge prüfen“ – Funktion auf diese Weise angelegte Vorgang weist im Unterschied zu selbst oder direkt beim Import angelegten Vorgängen eine Besonderheit auf:</w:t>
      </w:r>
    </w:p>
    <w:p w:rsidR="002605D8" w:rsidRDefault="00256B2E" w:rsidP="00EB7F70">
      <w:pPr>
        <w:pStyle w:val="Standardeinzug"/>
        <w:ind w:left="0"/>
      </w:pPr>
      <w:r>
        <w:lastRenderedPageBreak/>
        <w:t>Weil die Beteiligten (im Beispiel die Mutter und der Vater)</w:t>
      </w:r>
      <w:r w:rsidR="00106E73">
        <w:t xml:space="preserve"> bereits in einem bestehenden Vorgang als Mutter oder Vater vorhanden sind, werden sie in dem neu angelegten Vorgang als „Dritte“ angelegt:</w:t>
      </w:r>
    </w:p>
    <w:p w:rsidR="00BB114B" w:rsidRDefault="00BB114B" w:rsidP="00EB7F70">
      <w:pPr>
        <w:pStyle w:val="Standardeinzug"/>
        <w:ind w:left="0"/>
      </w:pPr>
    </w:p>
    <w:p w:rsidR="00BB114B" w:rsidRDefault="00BB114B" w:rsidP="00EB7F70">
      <w:pPr>
        <w:pStyle w:val="Standardeinzug"/>
        <w:ind w:left="0"/>
      </w:pPr>
      <w:r w:rsidRPr="00BB114B">
        <w:rPr>
          <w:noProof/>
        </w:rPr>
        <w:drawing>
          <wp:inline distT="0" distB="0" distL="0" distR="0" wp14:anchorId="09DBD8BB" wp14:editId="7AD6D2E2">
            <wp:extent cx="4563112" cy="828791"/>
            <wp:effectExtent l="19050" t="19050" r="8890" b="2857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3112" cy="828791"/>
                    </a:xfrm>
                    <a:prstGeom prst="rect">
                      <a:avLst/>
                    </a:prstGeom>
                    <a:ln>
                      <a:solidFill>
                        <a:schemeClr val="accent2"/>
                      </a:solidFill>
                    </a:ln>
                  </pic:spPr>
                </pic:pic>
              </a:graphicData>
            </a:graphic>
          </wp:inline>
        </w:drawing>
      </w:r>
    </w:p>
    <w:p w:rsidR="00106E73" w:rsidRDefault="00106E73" w:rsidP="00EB7F70">
      <w:pPr>
        <w:pStyle w:val="Standardeinzug"/>
        <w:ind w:left="0"/>
      </w:pPr>
    </w:p>
    <w:p w:rsidR="00106E73" w:rsidRDefault="00106E73" w:rsidP="00EB7F70">
      <w:pPr>
        <w:pStyle w:val="Standardeinzug"/>
        <w:ind w:left="0"/>
      </w:pPr>
      <w:r>
        <w:t xml:space="preserve">Hierdurch wird ermöglicht, sie aus dem neu angelegten Vorgang zu löschen und anschließend die bereits </w:t>
      </w:r>
      <w:r w:rsidR="00320C75">
        <w:t xml:space="preserve">in der Datenbank </w:t>
      </w:r>
      <w:r>
        <w:t xml:space="preserve">vorhandenen Adressen </w:t>
      </w:r>
      <w:r w:rsidR="00320C75">
        <w:t>der</w:t>
      </w:r>
      <w:r>
        <w:t xml:space="preserve"> Mutter bzw. </w:t>
      </w:r>
      <w:r w:rsidR="00320C75">
        <w:t xml:space="preserve">des </w:t>
      </w:r>
      <w:r>
        <w:t>Vater</w:t>
      </w:r>
      <w:r w:rsidR="00320C75">
        <w:t>s</w:t>
      </w:r>
      <w:r>
        <w:t xml:space="preserve"> zuzuordnen. </w:t>
      </w:r>
    </w:p>
    <w:p w:rsidR="00320C75" w:rsidRDefault="00320C75" w:rsidP="00EB7F70">
      <w:pPr>
        <w:pStyle w:val="Standardeinzug"/>
        <w:ind w:left="0"/>
      </w:pPr>
    </w:p>
    <w:p w:rsidR="00320C75" w:rsidRDefault="00320C75" w:rsidP="00EB7F70">
      <w:pPr>
        <w:pStyle w:val="Standardeinzug"/>
        <w:ind w:left="0"/>
      </w:pPr>
    </w:p>
    <w:p w:rsidR="00106E73" w:rsidRDefault="00106E73" w:rsidP="00EB7F70">
      <w:pPr>
        <w:pStyle w:val="Standardeinzug"/>
        <w:ind w:left="0"/>
      </w:pPr>
    </w:p>
    <w:p w:rsidR="00BB114B" w:rsidRDefault="00BB114B" w:rsidP="00EB7F70">
      <w:pPr>
        <w:pStyle w:val="Standardeinzug"/>
        <w:ind w:left="0"/>
      </w:pPr>
    </w:p>
    <w:p w:rsidR="00BB114B" w:rsidRDefault="00BB114B" w:rsidP="00EB7F70">
      <w:pPr>
        <w:pStyle w:val="Standardeinzug"/>
        <w:ind w:left="0"/>
      </w:pPr>
    </w:p>
    <w:p w:rsidR="00BB114B" w:rsidRDefault="00BB114B" w:rsidP="00EB7F70">
      <w:pPr>
        <w:pStyle w:val="Standardeinzug"/>
        <w:ind w:left="0"/>
      </w:pPr>
    </w:p>
    <w:p w:rsidR="00BB114B" w:rsidRDefault="00BB114B" w:rsidP="00EB7F70">
      <w:pPr>
        <w:pStyle w:val="Standardeinzug"/>
        <w:ind w:left="0"/>
      </w:pPr>
    </w:p>
    <w:p w:rsidR="00EB7F70" w:rsidRPr="00EB7F70" w:rsidRDefault="00EB7F70" w:rsidP="00EB7F70">
      <w:pPr>
        <w:pStyle w:val="Standardeinzug"/>
        <w:ind w:left="0"/>
      </w:pPr>
    </w:p>
    <w:p w:rsidR="00EB7F70" w:rsidRDefault="00EB7F70" w:rsidP="00565955"/>
    <w:p w:rsidR="00EB7F70" w:rsidRDefault="00EB7F70" w:rsidP="00565955"/>
    <w:sectPr w:rsidR="00EB7F70" w:rsidSect="00EE484D">
      <w:headerReference w:type="default" r:id="rId34"/>
      <w:footerReference w:type="default" r:id="rId35"/>
      <w:headerReference w:type="first" r:id="rId36"/>
      <w:footerReference w:type="first" r:id="rId37"/>
      <w:pgSz w:w="11907" w:h="16840" w:code="9"/>
      <w:pgMar w:top="505" w:right="720" w:bottom="720" w:left="1247" w:header="567" w:footer="39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AAF" w:rsidRDefault="001C5AAF">
      <w:r>
        <w:separator/>
      </w:r>
    </w:p>
  </w:endnote>
  <w:endnote w:type="continuationSeparator" w:id="0">
    <w:p w:rsidR="001C5AAF" w:rsidRDefault="001C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auxPro OT Regular">
    <w:panose1 w:val="02000506030000020004"/>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auxPro OT Black">
    <w:panose1 w:val="0200090603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E2A" w:rsidRDefault="001A4E2A" w:rsidP="00EE484D">
    <w:pPr>
      <w:pStyle w:val="Fuzeile"/>
    </w:pPr>
  </w:p>
  <w:p w:rsidR="00EE484D" w:rsidRDefault="00EE484D" w:rsidP="00EE484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8"/>
      <w:gridCol w:w="2152"/>
    </w:tblGrid>
    <w:tr w:rsidR="00EE484D" w:rsidTr="00EE484D">
      <w:tc>
        <w:tcPr>
          <w:tcW w:w="7905" w:type="dxa"/>
          <w:tcBorders>
            <w:right w:val="single" w:sz="12" w:space="0" w:color="C0504D" w:themeColor="accent2"/>
          </w:tcBorders>
        </w:tcPr>
        <w:p w:rsidR="00EE484D" w:rsidRDefault="00EE484D" w:rsidP="00EE484D">
          <w:pPr>
            <w:pStyle w:val="Fuzeile"/>
          </w:pPr>
        </w:p>
      </w:tc>
      <w:tc>
        <w:tcPr>
          <w:tcW w:w="2175" w:type="dxa"/>
          <w:tcBorders>
            <w:left w:val="single" w:sz="12" w:space="0" w:color="C0504D" w:themeColor="accent2"/>
          </w:tcBorders>
        </w:tcPr>
        <w:p w:rsidR="00EE484D" w:rsidRPr="00EE484D" w:rsidRDefault="00EE484D" w:rsidP="00EE484D">
          <w:pPr>
            <w:pStyle w:val="Kopfzeile"/>
            <w:rPr>
              <w:color w:val="A6A6A6" w:themeColor="background1" w:themeShade="A6"/>
            </w:rPr>
          </w:pPr>
          <w:r w:rsidRPr="00EE484D">
            <w:rPr>
              <w:color w:val="A6A6A6" w:themeColor="background1" w:themeShade="A6"/>
            </w:rPr>
            <w:t xml:space="preserve">Seite </w:t>
          </w:r>
          <w:sdt>
            <w:sdtPr>
              <w:rPr>
                <w:color w:val="A6A6A6" w:themeColor="background1" w:themeShade="A6"/>
              </w:rPr>
              <w:id w:val="2051797216"/>
              <w:docPartObj>
                <w:docPartGallery w:val="Page Numbers (Top of Page)"/>
                <w:docPartUnique/>
              </w:docPartObj>
            </w:sdtPr>
            <w:sdtEndPr/>
            <w:sdtContent>
              <w:r w:rsidRPr="00EE484D">
                <w:rPr>
                  <w:color w:val="A6A6A6" w:themeColor="background1" w:themeShade="A6"/>
                </w:rPr>
                <w:fldChar w:fldCharType="begin"/>
              </w:r>
              <w:r w:rsidRPr="00EE484D">
                <w:rPr>
                  <w:color w:val="A6A6A6" w:themeColor="background1" w:themeShade="A6"/>
                </w:rPr>
                <w:instrText>PAGE   \* MERGEFORMAT</w:instrText>
              </w:r>
              <w:r w:rsidRPr="00EE484D">
                <w:rPr>
                  <w:color w:val="A6A6A6" w:themeColor="background1" w:themeShade="A6"/>
                </w:rPr>
                <w:fldChar w:fldCharType="separate"/>
              </w:r>
              <w:r w:rsidR="00672EFD">
                <w:rPr>
                  <w:noProof/>
                  <w:color w:val="A6A6A6" w:themeColor="background1" w:themeShade="A6"/>
                </w:rPr>
                <w:t>10</w:t>
              </w:r>
              <w:r w:rsidRPr="00EE484D">
                <w:rPr>
                  <w:color w:val="A6A6A6" w:themeColor="background1" w:themeShade="A6"/>
                </w:rPr>
                <w:fldChar w:fldCharType="end"/>
              </w:r>
              <w:r w:rsidRPr="00EE484D">
                <w:rPr>
                  <w:color w:val="A6A6A6" w:themeColor="background1" w:themeShade="A6"/>
                </w:rPr>
                <w:t xml:space="preserve"> von </w:t>
              </w:r>
              <w:sdt>
                <w:sdtPr>
                  <w:rPr>
                    <w:color w:val="A6A6A6" w:themeColor="background1" w:themeShade="A6"/>
                  </w:rPr>
                  <w:id w:val="29848995"/>
                  <w:docPartObj>
                    <w:docPartGallery w:val="Page Numbers (Top of Page)"/>
                    <w:docPartUnique/>
                  </w:docPartObj>
                </w:sdtPr>
                <w:sdtEndPr/>
                <w:sdtContent>
                  <w:r w:rsidRPr="00EE484D">
                    <w:rPr>
                      <w:color w:val="A6A6A6" w:themeColor="background1" w:themeShade="A6"/>
                    </w:rPr>
                    <w:fldChar w:fldCharType="begin"/>
                  </w:r>
                  <w:r w:rsidRPr="00EE484D">
                    <w:rPr>
                      <w:color w:val="A6A6A6" w:themeColor="background1" w:themeShade="A6"/>
                    </w:rPr>
                    <w:instrText>NUMPAGES   \* MERGEFORMAT</w:instrText>
                  </w:r>
                  <w:r w:rsidRPr="00EE484D">
                    <w:rPr>
                      <w:color w:val="A6A6A6" w:themeColor="background1" w:themeShade="A6"/>
                    </w:rPr>
                    <w:fldChar w:fldCharType="separate"/>
                  </w:r>
                  <w:r w:rsidR="00672EFD">
                    <w:rPr>
                      <w:noProof/>
                      <w:color w:val="A6A6A6" w:themeColor="background1" w:themeShade="A6"/>
                    </w:rPr>
                    <w:t>10</w:t>
                  </w:r>
                  <w:r w:rsidRPr="00EE484D">
                    <w:rPr>
                      <w:color w:val="A6A6A6" w:themeColor="background1" w:themeShade="A6"/>
                    </w:rPr>
                    <w:fldChar w:fldCharType="end"/>
                  </w:r>
                </w:sdtContent>
              </w:sdt>
            </w:sdtContent>
          </w:sdt>
        </w:p>
        <w:p w:rsidR="00EE484D" w:rsidRDefault="00EE484D" w:rsidP="00EE484D">
          <w:pPr>
            <w:pStyle w:val="Fuzeile"/>
          </w:pPr>
        </w:p>
      </w:tc>
    </w:tr>
  </w:tbl>
  <w:p w:rsidR="00EE484D" w:rsidRPr="00EE484D" w:rsidRDefault="00EE484D" w:rsidP="00EE48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1EA" w:rsidRDefault="006B11EA" w:rsidP="00EE484D">
    <w:pPr>
      <w:pStyle w:val="Fuzeile"/>
    </w:pPr>
  </w:p>
  <w:p w:rsidR="00EE484D" w:rsidRDefault="00EE484D" w:rsidP="00EE484D">
    <w:pPr>
      <w:pStyle w:val="Fuzeile"/>
    </w:pPr>
  </w:p>
  <w:p w:rsidR="00EE484D" w:rsidRPr="00EE484D" w:rsidRDefault="00EE484D" w:rsidP="00EE484D">
    <w:pPr>
      <w:pStyle w:val="Fuzeile"/>
      <w:rPr>
        <w:color w:val="A6A6A6" w:themeColor="background1" w:themeShade="A6"/>
        <w:sz w:val="18"/>
        <w:szCs w:val="18"/>
      </w:rPr>
    </w:pPr>
    <w:r w:rsidRPr="00EE484D">
      <w:rPr>
        <w:color w:val="A6A6A6" w:themeColor="background1" w:themeShade="A6"/>
        <w:sz w:val="18"/>
        <w:szCs w:val="18"/>
      </w:rPr>
      <w:fldChar w:fldCharType="begin"/>
    </w:r>
    <w:r w:rsidRPr="00EE484D">
      <w:rPr>
        <w:color w:val="A6A6A6" w:themeColor="background1" w:themeShade="A6"/>
        <w:sz w:val="18"/>
        <w:szCs w:val="18"/>
      </w:rPr>
      <w:instrText xml:space="preserve"> FILENAME   \* MERGEFORMAT </w:instrText>
    </w:r>
    <w:r w:rsidRPr="00EE484D">
      <w:rPr>
        <w:color w:val="A6A6A6" w:themeColor="background1" w:themeShade="A6"/>
        <w:sz w:val="18"/>
        <w:szCs w:val="18"/>
      </w:rPr>
      <w:fldChar w:fldCharType="separate"/>
    </w:r>
    <w:r w:rsidR="00E14EBC">
      <w:rPr>
        <w:noProof/>
        <w:color w:val="A6A6A6" w:themeColor="background1" w:themeShade="A6"/>
        <w:sz w:val="18"/>
        <w:szCs w:val="18"/>
      </w:rPr>
      <w:t>Anleitung UVG Onlineantragsverfahren MTK.docx</w:t>
    </w:r>
    <w:r w:rsidRPr="00EE484D">
      <w:rPr>
        <w:color w:val="A6A6A6" w:themeColor="background1" w:themeShade="A6"/>
        <w:sz w:val="18"/>
        <w:szCs w:val="18"/>
      </w:rPr>
      <w:fldChar w:fldCharType="end"/>
    </w:r>
  </w:p>
  <w:p w:rsidR="00EE484D" w:rsidRPr="00EE484D" w:rsidRDefault="00EE484D" w:rsidP="00EE48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AAF" w:rsidRDefault="001C5AAF">
      <w:r>
        <w:separator/>
      </w:r>
    </w:p>
  </w:footnote>
  <w:footnote w:type="continuationSeparator" w:id="0">
    <w:p w:rsidR="001C5AAF" w:rsidRDefault="001C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E2A" w:rsidRDefault="001A4E2A">
    <w:pPr>
      <w:pStyle w:val="Kopfzeile"/>
      <w:tabs>
        <w:tab w:val="right" w:pos="99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82" w:rsidRDefault="00163C82" w:rsidP="00163C82">
    <w:pPr>
      <w:pStyle w:val="Kopfzeile"/>
      <w:tabs>
        <w:tab w:val="clear" w:pos="9071"/>
      </w:tabs>
      <w:ind w:left="-1361"/>
    </w:pPr>
    <w:r>
      <w:rPr>
        <w:noProof/>
      </w:rPr>
      <w:drawing>
        <wp:anchor distT="0" distB="0" distL="114300" distR="114300" simplePos="0" relativeHeight="251658240" behindDoc="0" locked="0" layoutInCell="1" allowOverlap="1" wp14:anchorId="74804229" wp14:editId="77770B17">
          <wp:simplePos x="0" y="0"/>
          <wp:positionH relativeFrom="column">
            <wp:posOffset>4485318</wp:posOffset>
          </wp:positionH>
          <wp:positionV relativeFrom="paragraph">
            <wp:posOffset>-102870</wp:posOffset>
          </wp:positionV>
          <wp:extent cx="1834515" cy="457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5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3C82" w:rsidRDefault="00163C82" w:rsidP="00163C82">
    <w:pPr>
      <w:pStyle w:val="Kopfzeile"/>
      <w:tabs>
        <w:tab w:val="clear" w:pos="9071"/>
      </w:tabs>
      <w:ind w:left="-1361"/>
    </w:pPr>
  </w:p>
  <w:p w:rsidR="00163C82" w:rsidRPr="00163C82" w:rsidRDefault="00163C82" w:rsidP="00163C82">
    <w:pPr>
      <w:pStyle w:val="Kopfzeile"/>
      <w:tabs>
        <w:tab w:val="clear" w:pos="9071"/>
      </w:tabs>
      <w:ind w:left="-1361"/>
      <w:rPr>
        <w:sz w:val="2"/>
        <w:szCs w:val="2"/>
      </w:rPr>
    </w:pPr>
    <w:r>
      <w:object w:dxaOrig="2880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65pt;height:74.5pt">
          <v:imagedata r:id="rId2" o:title=""/>
        </v:shape>
        <o:OLEObject Type="Embed" ProgID="Unknown" ShapeID="_x0000_i1025" DrawAspect="Content" ObjectID="_163454333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0C38"/>
    <w:multiLevelType w:val="hybridMultilevel"/>
    <w:tmpl w:val="4F8E89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23B4EA7"/>
    <w:multiLevelType w:val="hybridMultilevel"/>
    <w:tmpl w:val="4F8E89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AF"/>
    <w:rsid w:val="00020903"/>
    <w:rsid w:val="00060233"/>
    <w:rsid w:val="00081972"/>
    <w:rsid w:val="000A2F16"/>
    <w:rsid w:val="000B44AB"/>
    <w:rsid w:val="000D0587"/>
    <w:rsid w:val="00106E73"/>
    <w:rsid w:val="00146558"/>
    <w:rsid w:val="00163C82"/>
    <w:rsid w:val="001A4E2A"/>
    <w:rsid w:val="001C5AAF"/>
    <w:rsid w:val="001D3552"/>
    <w:rsid w:val="001E0492"/>
    <w:rsid w:val="00256B2E"/>
    <w:rsid w:val="002605D8"/>
    <w:rsid w:val="00263416"/>
    <w:rsid w:val="002A3917"/>
    <w:rsid w:val="00320C75"/>
    <w:rsid w:val="003777C1"/>
    <w:rsid w:val="0039220F"/>
    <w:rsid w:val="00397019"/>
    <w:rsid w:val="004061A2"/>
    <w:rsid w:val="00417CAB"/>
    <w:rsid w:val="00441915"/>
    <w:rsid w:val="00454E9F"/>
    <w:rsid w:val="004A502D"/>
    <w:rsid w:val="004D19A2"/>
    <w:rsid w:val="004D31AF"/>
    <w:rsid w:val="004E3A2A"/>
    <w:rsid w:val="00503CE2"/>
    <w:rsid w:val="005061D6"/>
    <w:rsid w:val="00512AB0"/>
    <w:rsid w:val="00533209"/>
    <w:rsid w:val="00562B24"/>
    <w:rsid w:val="00565955"/>
    <w:rsid w:val="0058238F"/>
    <w:rsid w:val="00595A5A"/>
    <w:rsid w:val="005A5019"/>
    <w:rsid w:val="006327A0"/>
    <w:rsid w:val="00665428"/>
    <w:rsid w:val="00672EFD"/>
    <w:rsid w:val="006B11EA"/>
    <w:rsid w:val="006D5683"/>
    <w:rsid w:val="007006E3"/>
    <w:rsid w:val="00725BB7"/>
    <w:rsid w:val="00754181"/>
    <w:rsid w:val="00756964"/>
    <w:rsid w:val="00777043"/>
    <w:rsid w:val="007B6676"/>
    <w:rsid w:val="007C2FE6"/>
    <w:rsid w:val="007F1C02"/>
    <w:rsid w:val="007F3D9F"/>
    <w:rsid w:val="00807E4E"/>
    <w:rsid w:val="00810885"/>
    <w:rsid w:val="008577D7"/>
    <w:rsid w:val="00861A18"/>
    <w:rsid w:val="00863AC6"/>
    <w:rsid w:val="008743D8"/>
    <w:rsid w:val="00880C73"/>
    <w:rsid w:val="00882251"/>
    <w:rsid w:val="00892C1E"/>
    <w:rsid w:val="00895018"/>
    <w:rsid w:val="008C1C71"/>
    <w:rsid w:val="008C2588"/>
    <w:rsid w:val="008F337B"/>
    <w:rsid w:val="00987F54"/>
    <w:rsid w:val="009901A4"/>
    <w:rsid w:val="00A1121A"/>
    <w:rsid w:val="00A12C74"/>
    <w:rsid w:val="00A1495A"/>
    <w:rsid w:val="00A6523A"/>
    <w:rsid w:val="00A74929"/>
    <w:rsid w:val="00A7696A"/>
    <w:rsid w:val="00AA0610"/>
    <w:rsid w:val="00AA7211"/>
    <w:rsid w:val="00AB50D4"/>
    <w:rsid w:val="00AC1277"/>
    <w:rsid w:val="00AC3972"/>
    <w:rsid w:val="00AD7732"/>
    <w:rsid w:val="00B2094F"/>
    <w:rsid w:val="00B232A5"/>
    <w:rsid w:val="00B27864"/>
    <w:rsid w:val="00B6130C"/>
    <w:rsid w:val="00B75ABF"/>
    <w:rsid w:val="00BB114B"/>
    <w:rsid w:val="00BE10C6"/>
    <w:rsid w:val="00BE5ED9"/>
    <w:rsid w:val="00C1769C"/>
    <w:rsid w:val="00C33EF7"/>
    <w:rsid w:val="00C518D3"/>
    <w:rsid w:val="00C61D50"/>
    <w:rsid w:val="00C93718"/>
    <w:rsid w:val="00CD7CBE"/>
    <w:rsid w:val="00D04237"/>
    <w:rsid w:val="00D217C4"/>
    <w:rsid w:val="00D4287F"/>
    <w:rsid w:val="00D47B92"/>
    <w:rsid w:val="00D646A7"/>
    <w:rsid w:val="00D65A65"/>
    <w:rsid w:val="00D70958"/>
    <w:rsid w:val="00D7578B"/>
    <w:rsid w:val="00D9395F"/>
    <w:rsid w:val="00DD0C96"/>
    <w:rsid w:val="00DD580C"/>
    <w:rsid w:val="00E14BFC"/>
    <w:rsid w:val="00E14EBC"/>
    <w:rsid w:val="00E27F74"/>
    <w:rsid w:val="00E33A84"/>
    <w:rsid w:val="00E527CB"/>
    <w:rsid w:val="00E7523E"/>
    <w:rsid w:val="00EB7F70"/>
    <w:rsid w:val="00EC207D"/>
    <w:rsid w:val="00EE0786"/>
    <w:rsid w:val="00EE3CA4"/>
    <w:rsid w:val="00EE484D"/>
    <w:rsid w:val="00F654E5"/>
    <w:rsid w:val="00FA2E7C"/>
    <w:rsid w:val="00FC0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57709844"/>
  <w15:docId w15:val="{364065CA-37D7-4A2C-B6DE-6DB273F5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5AAF"/>
    <w:pPr>
      <w:spacing w:line="288" w:lineRule="auto"/>
      <w:jc w:val="both"/>
    </w:pPr>
    <w:rPr>
      <w:rFonts w:ascii="AauxPro OT Regular" w:hAnsi="AauxPro OT Regular"/>
      <w:sz w:val="22"/>
    </w:rPr>
  </w:style>
  <w:style w:type="paragraph" w:styleId="berschrift1">
    <w:name w:val="heading 1"/>
    <w:basedOn w:val="Standard"/>
    <w:next w:val="Standard"/>
    <w:qFormat/>
    <w:rsid w:val="001C5AAF"/>
    <w:pPr>
      <w:spacing w:after="240"/>
      <w:outlineLvl w:val="0"/>
    </w:pPr>
    <w:rPr>
      <w:sz w:val="32"/>
    </w:rPr>
  </w:style>
  <w:style w:type="paragraph" w:styleId="berschrift2">
    <w:name w:val="heading 2"/>
    <w:basedOn w:val="Standard"/>
    <w:next w:val="Standard"/>
    <w:qFormat/>
    <w:rsid w:val="00B27864"/>
    <w:pPr>
      <w:spacing w:after="240"/>
      <w:outlineLvl w:val="1"/>
    </w:pPr>
    <w:rPr>
      <w:sz w:val="28"/>
    </w:rPr>
  </w:style>
  <w:style w:type="paragraph" w:styleId="berschrift3">
    <w:name w:val="heading 3"/>
    <w:basedOn w:val="Standard"/>
    <w:next w:val="Standardeinzug"/>
    <w:qFormat/>
    <w:rsid w:val="00A6523A"/>
    <w:pPr>
      <w:spacing w:after="240"/>
      <w:outlineLvl w:val="2"/>
    </w:pPr>
    <w:rPr>
      <w:sz w:val="24"/>
    </w:rPr>
  </w:style>
  <w:style w:type="paragraph" w:styleId="berschrift4">
    <w:name w:val="heading 4"/>
    <w:basedOn w:val="Standard"/>
    <w:next w:val="Standardeinzug"/>
    <w:qFormat/>
    <w:rsid w:val="00B27864"/>
    <w:pPr>
      <w:spacing w:after="240"/>
      <w:outlineLvl w:val="3"/>
    </w:pPr>
    <w:rPr>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link w:val="KopfzeileZchn"/>
    <w:uiPriority w:val="99"/>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Hyperlink">
    <w:name w:val="Hyperlink"/>
    <w:rsid w:val="00AD7732"/>
    <w:rPr>
      <w:color w:val="0000FF"/>
      <w:u w:val="single"/>
    </w:rPr>
  </w:style>
  <w:style w:type="paragraph" w:styleId="Makrotext">
    <w:name w:val="macro"/>
    <w:semiHidden/>
    <w:pPr>
      <w:tabs>
        <w:tab w:val="left" w:pos="960"/>
        <w:tab w:val="left" w:pos="1440"/>
        <w:tab w:val="left" w:pos="1920"/>
        <w:tab w:val="left" w:pos="2400"/>
        <w:tab w:val="left" w:pos="2880"/>
        <w:tab w:val="left" w:pos="3360"/>
        <w:tab w:val="left" w:pos="3840"/>
        <w:tab w:val="left" w:pos="4320"/>
      </w:tabs>
    </w:pPr>
    <w:rPr>
      <w:rFonts w:ascii="Courier New" w:hAnsi="Courier New"/>
    </w:rPr>
  </w:style>
  <w:style w:type="table" w:styleId="Tabellenraster">
    <w:name w:val="Table Grid"/>
    <w:basedOn w:val="NormaleTabelle"/>
    <w:rsid w:val="00EE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EE484D"/>
    <w:rPr>
      <w:rFonts w:ascii="AauxPro OT Regular" w:hAnsi="AauxPro OT Regular"/>
      <w:sz w:val="22"/>
    </w:rPr>
  </w:style>
  <w:style w:type="paragraph" w:styleId="Titel">
    <w:name w:val="Title"/>
    <w:basedOn w:val="Standard"/>
    <w:next w:val="Standard"/>
    <w:link w:val="TitelZchn"/>
    <w:qFormat/>
    <w:rsid w:val="001C5AAF"/>
    <w:pPr>
      <w:spacing w:after="240"/>
      <w:contextualSpacing/>
    </w:pPr>
    <w:rPr>
      <w:rFonts w:eastAsiaTheme="majorEastAsia" w:cstheme="majorBidi"/>
      <w:color w:val="C0504D" w:themeColor="accent2"/>
      <w:spacing w:val="-10"/>
      <w:kern w:val="28"/>
      <w:sz w:val="40"/>
      <w:szCs w:val="56"/>
    </w:rPr>
  </w:style>
  <w:style w:type="character" w:customStyle="1" w:styleId="TitelZchn">
    <w:name w:val="Titel Zchn"/>
    <w:basedOn w:val="Absatz-Standardschriftart"/>
    <w:link w:val="Titel"/>
    <w:rsid w:val="001C5AAF"/>
    <w:rPr>
      <w:rFonts w:ascii="AauxPro OT Regular" w:eastAsiaTheme="majorEastAsia" w:hAnsi="AauxPro OT Regular" w:cstheme="majorBidi"/>
      <w:color w:val="C0504D" w:themeColor="accent2"/>
      <w:spacing w:val="-10"/>
      <w:kern w:val="28"/>
      <w:sz w:val="40"/>
      <w:szCs w:val="56"/>
    </w:rPr>
  </w:style>
  <w:style w:type="character" w:styleId="BesuchterLink">
    <w:name w:val="FollowedHyperlink"/>
    <w:basedOn w:val="Absatz-Standardschriftart"/>
    <w:semiHidden/>
    <w:unhideWhenUsed/>
    <w:rsid w:val="000B44AB"/>
    <w:rPr>
      <w:color w:val="800080" w:themeColor="followedHyperlink"/>
      <w:u w:val="single"/>
    </w:rPr>
  </w:style>
  <w:style w:type="paragraph" w:styleId="Listenabsatz">
    <w:name w:val="List Paragraph"/>
    <w:basedOn w:val="Standard"/>
    <w:uiPriority w:val="34"/>
    <w:qFormat/>
    <w:rsid w:val="00392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2115438070">
          <w:marLeft w:val="0"/>
          <w:marRight w:val="0"/>
          <w:marTop w:val="0"/>
          <w:marBottom w:val="0"/>
          <w:divBdr>
            <w:top w:val="none" w:sz="0" w:space="0" w:color="auto"/>
            <w:left w:val="none" w:sz="0" w:space="0" w:color="auto"/>
            <w:bottom w:val="none" w:sz="0" w:space="0" w:color="auto"/>
            <w:right w:val="none" w:sz="0" w:space="0" w:color="auto"/>
          </w:divBdr>
          <w:divsChild>
            <w:div w:id="1089813985">
              <w:marLeft w:val="0"/>
              <w:marRight w:val="0"/>
              <w:marTop w:val="0"/>
              <w:marBottom w:val="0"/>
              <w:divBdr>
                <w:top w:val="none" w:sz="0" w:space="0" w:color="auto"/>
                <w:left w:val="none" w:sz="0" w:space="0" w:color="auto"/>
                <w:bottom w:val="none" w:sz="0" w:space="0" w:color="auto"/>
                <w:right w:val="none" w:sz="0" w:space="0" w:color="auto"/>
              </w:divBdr>
              <w:divsChild>
                <w:div w:id="817183309">
                  <w:marLeft w:val="0"/>
                  <w:marRight w:val="0"/>
                  <w:marTop w:val="195"/>
                  <w:marBottom w:val="0"/>
                  <w:divBdr>
                    <w:top w:val="none" w:sz="0" w:space="0" w:color="auto"/>
                    <w:left w:val="none" w:sz="0" w:space="0" w:color="auto"/>
                    <w:bottom w:val="none" w:sz="0" w:space="0" w:color="auto"/>
                    <w:right w:val="none" w:sz="0" w:space="0" w:color="auto"/>
                  </w:divBdr>
                  <w:divsChild>
                    <w:div w:id="1174880145">
                      <w:marLeft w:val="0"/>
                      <w:marRight w:val="0"/>
                      <w:marTop w:val="0"/>
                      <w:marBottom w:val="0"/>
                      <w:divBdr>
                        <w:top w:val="none" w:sz="0" w:space="0" w:color="auto"/>
                        <w:left w:val="none" w:sz="0" w:space="0" w:color="auto"/>
                        <w:bottom w:val="none" w:sz="0" w:space="0" w:color="auto"/>
                        <w:right w:val="none" w:sz="0" w:space="0" w:color="auto"/>
                      </w:divBdr>
                      <w:divsChild>
                        <w:div w:id="1511993893">
                          <w:marLeft w:val="0"/>
                          <w:marRight w:val="0"/>
                          <w:marTop w:val="0"/>
                          <w:marBottom w:val="0"/>
                          <w:divBdr>
                            <w:top w:val="none" w:sz="0" w:space="0" w:color="auto"/>
                            <w:left w:val="none" w:sz="0" w:space="0" w:color="auto"/>
                            <w:bottom w:val="none" w:sz="0" w:space="0" w:color="auto"/>
                            <w:right w:val="none" w:sz="0" w:space="0" w:color="auto"/>
                          </w:divBdr>
                          <w:divsChild>
                            <w:div w:id="937326876">
                              <w:marLeft w:val="0"/>
                              <w:marRight w:val="0"/>
                              <w:marTop w:val="0"/>
                              <w:marBottom w:val="0"/>
                              <w:divBdr>
                                <w:top w:val="none" w:sz="0" w:space="0" w:color="auto"/>
                                <w:left w:val="none" w:sz="0" w:space="0" w:color="auto"/>
                                <w:bottom w:val="none" w:sz="0" w:space="0" w:color="auto"/>
                                <w:right w:val="none" w:sz="0" w:space="0" w:color="auto"/>
                              </w:divBdr>
                              <w:divsChild>
                                <w:div w:id="205876169">
                                  <w:marLeft w:val="0"/>
                                  <w:marRight w:val="0"/>
                                  <w:marTop w:val="0"/>
                                  <w:marBottom w:val="0"/>
                                  <w:divBdr>
                                    <w:top w:val="none" w:sz="0" w:space="0" w:color="auto"/>
                                    <w:left w:val="none" w:sz="0" w:space="0" w:color="auto"/>
                                    <w:bottom w:val="none" w:sz="0" w:space="0" w:color="auto"/>
                                    <w:right w:val="none" w:sz="0" w:space="0" w:color="auto"/>
                                  </w:divBdr>
                                  <w:divsChild>
                                    <w:div w:id="1262568369">
                                      <w:marLeft w:val="0"/>
                                      <w:marRight w:val="0"/>
                                      <w:marTop w:val="0"/>
                                      <w:marBottom w:val="0"/>
                                      <w:divBdr>
                                        <w:top w:val="none" w:sz="0" w:space="0" w:color="auto"/>
                                        <w:left w:val="none" w:sz="0" w:space="0" w:color="auto"/>
                                        <w:bottom w:val="none" w:sz="0" w:space="0" w:color="auto"/>
                                        <w:right w:val="none" w:sz="0" w:space="0" w:color="auto"/>
                                      </w:divBdr>
                                      <w:divsChild>
                                        <w:div w:id="1642153237">
                                          <w:marLeft w:val="0"/>
                                          <w:marRight w:val="0"/>
                                          <w:marTop w:val="90"/>
                                          <w:marBottom w:val="0"/>
                                          <w:divBdr>
                                            <w:top w:val="none" w:sz="0" w:space="0" w:color="auto"/>
                                            <w:left w:val="none" w:sz="0" w:space="0" w:color="auto"/>
                                            <w:bottom w:val="none" w:sz="0" w:space="0" w:color="auto"/>
                                            <w:right w:val="none" w:sz="0" w:space="0" w:color="auto"/>
                                          </w:divBdr>
                                          <w:divsChild>
                                            <w:div w:id="1026297372">
                                              <w:marLeft w:val="0"/>
                                              <w:marRight w:val="0"/>
                                              <w:marTop w:val="0"/>
                                              <w:marBottom w:val="0"/>
                                              <w:divBdr>
                                                <w:top w:val="none" w:sz="0" w:space="0" w:color="auto"/>
                                                <w:left w:val="none" w:sz="0" w:space="0" w:color="auto"/>
                                                <w:bottom w:val="none" w:sz="0" w:space="0" w:color="auto"/>
                                                <w:right w:val="none" w:sz="0" w:space="0" w:color="auto"/>
                                              </w:divBdr>
                                              <w:divsChild>
                                                <w:div w:id="968508829">
                                                  <w:marLeft w:val="0"/>
                                                  <w:marRight w:val="0"/>
                                                  <w:marTop w:val="0"/>
                                                  <w:marBottom w:val="0"/>
                                                  <w:divBdr>
                                                    <w:top w:val="none" w:sz="0" w:space="0" w:color="auto"/>
                                                    <w:left w:val="none" w:sz="0" w:space="0" w:color="auto"/>
                                                    <w:bottom w:val="none" w:sz="0" w:space="0" w:color="auto"/>
                                                    <w:right w:val="none" w:sz="0" w:space="0" w:color="auto"/>
                                                  </w:divBdr>
                                                  <w:divsChild>
                                                    <w:div w:id="1076050359">
                                                      <w:marLeft w:val="0"/>
                                                      <w:marRight w:val="0"/>
                                                      <w:marTop w:val="0"/>
                                                      <w:marBottom w:val="0"/>
                                                      <w:divBdr>
                                                        <w:top w:val="none" w:sz="0" w:space="0" w:color="auto"/>
                                                        <w:left w:val="none" w:sz="0" w:space="0" w:color="auto"/>
                                                        <w:bottom w:val="none" w:sz="0" w:space="0" w:color="auto"/>
                                                        <w:right w:val="none" w:sz="0" w:space="0" w:color="auto"/>
                                                      </w:divBdr>
                                                      <w:divsChild>
                                                        <w:div w:id="808327982">
                                                          <w:marLeft w:val="0"/>
                                                          <w:marRight w:val="0"/>
                                                          <w:marTop w:val="0"/>
                                                          <w:marBottom w:val="0"/>
                                                          <w:divBdr>
                                                            <w:top w:val="none" w:sz="0" w:space="0" w:color="auto"/>
                                                            <w:left w:val="none" w:sz="0" w:space="0" w:color="auto"/>
                                                            <w:bottom w:val="none" w:sz="0" w:space="0" w:color="auto"/>
                                                            <w:right w:val="none" w:sz="0" w:space="0" w:color="auto"/>
                                                          </w:divBdr>
                                                          <w:divsChild>
                                                            <w:div w:id="302194127">
                                                              <w:marLeft w:val="0"/>
                                                              <w:marRight w:val="0"/>
                                                              <w:marTop w:val="0"/>
                                                              <w:marBottom w:val="0"/>
                                                              <w:divBdr>
                                                                <w:top w:val="none" w:sz="0" w:space="0" w:color="auto"/>
                                                                <w:left w:val="none" w:sz="0" w:space="0" w:color="auto"/>
                                                                <w:bottom w:val="none" w:sz="0" w:space="0" w:color="auto"/>
                                                                <w:right w:val="none" w:sz="0" w:space="0" w:color="auto"/>
                                                              </w:divBdr>
                                                              <w:divsChild>
                                                                <w:div w:id="234358541">
                                                                  <w:marLeft w:val="0"/>
                                                                  <w:marRight w:val="0"/>
                                                                  <w:marTop w:val="0"/>
                                                                  <w:marBottom w:val="0"/>
                                                                  <w:divBdr>
                                                                    <w:top w:val="none" w:sz="0" w:space="0" w:color="auto"/>
                                                                    <w:left w:val="none" w:sz="0" w:space="0" w:color="auto"/>
                                                                    <w:bottom w:val="none" w:sz="0" w:space="0" w:color="auto"/>
                                                                    <w:right w:val="none" w:sz="0" w:space="0" w:color="auto"/>
                                                                  </w:divBdr>
                                                                  <w:divsChild>
                                                                    <w:div w:id="114257551">
                                                                      <w:marLeft w:val="0"/>
                                                                      <w:marRight w:val="0"/>
                                                                      <w:marTop w:val="0"/>
                                                                      <w:marBottom w:val="0"/>
                                                                      <w:divBdr>
                                                                        <w:top w:val="none" w:sz="0" w:space="0" w:color="auto"/>
                                                                        <w:left w:val="none" w:sz="0" w:space="0" w:color="auto"/>
                                                                        <w:bottom w:val="none" w:sz="0" w:space="0" w:color="auto"/>
                                                                        <w:right w:val="none" w:sz="0" w:space="0" w:color="auto"/>
                                                                      </w:divBdr>
                                                                      <w:divsChild>
                                                                        <w:div w:id="17603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v.intern.ekom21.de/civ/start.html"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ogle.de/url?sa=i&amp;rct=j&amp;q=&amp;esrc=s&amp;source=images&amp;cd=&amp;ved=2ahUKEwjvicHVkt_kAhWR-qQKHdgNARUQjRx6BAgBEAQ&amp;url=https%3A%2F%2Fwiki.vuplus-support.org%2Findex.php%3Ftitle%3DDatei%3AAchtung_gelb.png&amp;psig=AOvVaw3RxKixdUwS_8wiXGEPNwC8&amp;ust=1569060137606819"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t.intern.ekom21.de/" TargetMode="Externa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2.xml"/><Relationship Id="rId10" Type="http://schemas.openxmlformats.org/officeDocument/2006/relationships/hyperlink" Target="file:///\\SRV015MTK\Daten$\Prosoz14\Onlineantraege\Uvg"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4.emf"/><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U:\MS%20Office\Word\Vorlagen\Merkbla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C8F9-BAE9-4340-9962-94B09470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Merkblatt.dotx</Template>
  <TotalTime>0</TotalTime>
  <Pages>10</Pages>
  <Words>1552</Words>
  <Characters>10399</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Anleitung UVG Onlineantragsverfahren</vt:lpstr>
    </vt:vector>
  </TitlesOfParts>
  <Company>streamBASE GmbH</Company>
  <LinksUpToDate>false</LinksUpToDate>
  <CharactersWithSpaces>11928</CharactersWithSpaces>
  <SharedDoc>false</SharedDoc>
  <HLinks>
    <vt:vector size="6" baseType="variant">
      <vt:variant>
        <vt:i4>2424952</vt:i4>
      </vt:variant>
      <vt:variant>
        <vt:i4>5</vt:i4>
      </vt:variant>
      <vt:variant>
        <vt:i4>0</vt:i4>
      </vt:variant>
      <vt:variant>
        <vt:i4>5</vt:i4>
      </vt:variant>
      <vt:variant>
        <vt:lpwstr>http://www.mtk.org/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UVG Onlineantragsverfahren</dc:title>
  <dc:creator>Weidner, Uwe</dc:creator>
  <cp:lastModifiedBy>Weidner, Uwe</cp:lastModifiedBy>
  <cp:revision>31</cp:revision>
  <cp:lastPrinted>2019-11-06T10:02:00Z</cp:lastPrinted>
  <dcterms:created xsi:type="dcterms:W3CDTF">2019-09-20T09:16:00Z</dcterms:created>
  <dcterms:modified xsi:type="dcterms:W3CDTF">2019-11-06T10:02:00Z</dcterms:modified>
</cp:coreProperties>
</file>