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8A" w:rsidRPr="0058279B" w:rsidRDefault="007F3C8A" w:rsidP="00817F84">
      <w:pPr>
        <w:pStyle w:val="berschrift1"/>
        <w:jc w:val="both"/>
      </w:pPr>
      <w:bookmarkStart w:id="0" w:name="_GoBack"/>
      <w:r w:rsidRPr="0058279B">
        <w:t>Geschäftsanweisung</w:t>
      </w:r>
      <w:r w:rsidR="00817F84" w:rsidRPr="0058279B">
        <w:t xml:space="preserve"> </w:t>
      </w:r>
    </w:p>
    <w:p w:rsidR="007F3C8A" w:rsidRPr="00E17958" w:rsidRDefault="007F3C8A" w:rsidP="00817F84">
      <w:pPr>
        <w:jc w:val="both"/>
        <w:rPr>
          <w:sz w:val="28"/>
          <w:szCs w:val="28"/>
        </w:rPr>
      </w:pPr>
      <w:r w:rsidRPr="00E17958">
        <w:rPr>
          <w:sz w:val="28"/>
          <w:szCs w:val="28"/>
        </w:rPr>
        <w:t>zur Aufbewahrung und Löschung von Sozialdaten</w:t>
      </w:r>
    </w:p>
    <w:bookmarkEnd w:id="0"/>
    <w:p w:rsidR="007F3C8A" w:rsidRPr="00E17958" w:rsidRDefault="007F3C8A" w:rsidP="00817F84">
      <w:pPr>
        <w:jc w:val="both"/>
        <w:rPr>
          <w:sz w:val="28"/>
          <w:szCs w:val="28"/>
        </w:rPr>
      </w:pPr>
      <w:r w:rsidRPr="00E17958">
        <w:rPr>
          <w:sz w:val="28"/>
          <w:szCs w:val="28"/>
        </w:rPr>
        <w:t>des Amtes für Jugend, Schulen und Kultur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pStyle w:val="berschrift2"/>
        <w:jc w:val="both"/>
      </w:pPr>
      <w:r w:rsidRPr="0058279B">
        <w:t>1. Vorbemerkung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Gemäß Ziffer 2.17 der Dienstanweisung über den Datenschutz von Sozialdaten beim Kreisau</w:t>
      </w:r>
      <w:r w:rsidRPr="0058279B">
        <w:rPr>
          <w:rFonts w:cs="Arial"/>
          <w:szCs w:val="24"/>
        </w:rPr>
        <w:t>s</w:t>
      </w:r>
      <w:r w:rsidRPr="0058279B">
        <w:rPr>
          <w:rFonts w:cs="Arial"/>
          <w:szCs w:val="24"/>
        </w:rPr>
        <w:t>schuss des Main-Taunus-Kreises hat der Leistungsträger in Form einer Satzung die besonderen Aufbewahrungsregelungen von Sozialdaten verbindlich zu machen.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 xml:space="preserve">Für das Amt für Jugend, Schulen </w:t>
      </w:r>
      <w:r w:rsidRPr="00E17958">
        <w:rPr>
          <w:rFonts w:cs="Arial"/>
          <w:szCs w:val="24"/>
        </w:rPr>
        <w:t xml:space="preserve">und Kultur </w:t>
      </w:r>
      <w:r w:rsidRPr="0058279B">
        <w:rPr>
          <w:rFonts w:cs="Arial"/>
          <w:szCs w:val="24"/>
        </w:rPr>
        <w:t>sollen die Regelungen in dieser Geschäftsanwe</w:t>
      </w:r>
      <w:r w:rsidRPr="0058279B">
        <w:rPr>
          <w:rFonts w:cs="Arial"/>
          <w:szCs w:val="24"/>
        </w:rPr>
        <w:t>i</w:t>
      </w:r>
      <w:r w:rsidRPr="0058279B">
        <w:rPr>
          <w:rFonts w:cs="Arial"/>
          <w:szCs w:val="24"/>
        </w:rPr>
        <w:t>sung getroffen werden.</w:t>
      </w: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pStyle w:val="berschrift2"/>
        <w:jc w:val="both"/>
      </w:pPr>
      <w:r w:rsidRPr="0058279B">
        <w:t>2. Zielsetzung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E17958" w:rsidRDefault="007F3C8A" w:rsidP="00817F84">
      <w:pPr>
        <w:jc w:val="both"/>
        <w:rPr>
          <w:rFonts w:cs="Arial"/>
          <w:szCs w:val="24"/>
        </w:rPr>
      </w:pPr>
      <w:r w:rsidRPr="00E17958">
        <w:rPr>
          <w:rFonts w:cs="Arial"/>
          <w:szCs w:val="24"/>
        </w:rPr>
        <w:t>Ziel dieser Geschäftsanweisung ist es</w:t>
      </w:r>
      <w:r w:rsidR="00817F84" w:rsidRPr="00E17958">
        <w:rPr>
          <w:rFonts w:cs="Arial"/>
          <w:szCs w:val="24"/>
        </w:rPr>
        <w:t>, alle</w:t>
      </w:r>
      <w:r w:rsidRPr="00E17958">
        <w:rPr>
          <w:rFonts w:cs="Arial"/>
          <w:szCs w:val="24"/>
        </w:rPr>
        <w:t xml:space="preserve"> Aufbewahrungsregelungen der verschiedenen Sac</w:t>
      </w:r>
      <w:r w:rsidRPr="00E17958">
        <w:rPr>
          <w:rFonts w:cs="Arial"/>
          <w:szCs w:val="24"/>
        </w:rPr>
        <w:t>h</w:t>
      </w:r>
      <w:r w:rsidRPr="00E17958">
        <w:rPr>
          <w:rFonts w:cs="Arial"/>
          <w:szCs w:val="24"/>
        </w:rPr>
        <w:t xml:space="preserve">gebiete zusammenzufassen und für die Vernichtung von schriftlichen Aktenvorgängen und elektronisch gespeicherten Sozialdaten </w:t>
      </w:r>
      <w:r w:rsidR="00817F84" w:rsidRPr="00E17958">
        <w:rPr>
          <w:rFonts w:cs="Arial"/>
          <w:szCs w:val="24"/>
        </w:rPr>
        <w:t xml:space="preserve">im Fachverfahren PROSOZ 14plus </w:t>
      </w:r>
      <w:r w:rsidRPr="00E17958">
        <w:rPr>
          <w:rFonts w:cs="Arial"/>
          <w:szCs w:val="24"/>
        </w:rPr>
        <w:t>verbindliche Fristen zu benennen.</w:t>
      </w:r>
    </w:p>
    <w:p w:rsidR="007F3C8A" w:rsidRPr="00E17958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pStyle w:val="berschrift2"/>
        <w:jc w:val="both"/>
      </w:pPr>
      <w:r w:rsidRPr="0058279B">
        <w:t>3. Rechtsgrundlagen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§ 84 Abs. 2 SGB X verlangt die Löschung von Daten, wenn ihre Speicherung unzulässig ist, mi</w:t>
      </w:r>
      <w:r w:rsidRPr="0058279B">
        <w:rPr>
          <w:rFonts w:cs="Arial"/>
          <w:szCs w:val="24"/>
        </w:rPr>
        <w:t>t</w:t>
      </w:r>
      <w:r w:rsidRPr="0058279B">
        <w:rPr>
          <w:rFonts w:cs="Arial"/>
          <w:szCs w:val="24"/>
        </w:rPr>
        <w:t>hin, wenn Daten nicht mehr benötigt werden, weil ein Fall abgeschlossen ist. Bis zur Löschung sind Daten gemäß § 84 Abs. 3 SGB X zu sperren.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Die gesetzlichen und durch Dienstanweisung vorliegenden Vorschriften zur Erhebung und Spe</w:t>
      </w:r>
      <w:r w:rsidRPr="0058279B">
        <w:rPr>
          <w:rFonts w:cs="Arial"/>
          <w:szCs w:val="24"/>
        </w:rPr>
        <w:t>i</w:t>
      </w:r>
      <w:r w:rsidRPr="0058279B">
        <w:rPr>
          <w:rFonts w:cs="Arial"/>
          <w:szCs w:val="24"/>
        </w:rPr>
        <w:t>cherung sowie zur Übermittlung von Sozialdaten bleiben von dieser Geschäftsanweisung unb</w:t>
      </w:r>
      <w:r w:rsidRPr="0058279B">
        <w:rPr>
          <w:rFonts w:cs="Arial"/>
          <w:szCs w:val="24"/>
        </w:rPr>
        <w:t>e</w:t>
      </w:r>
      <w:r w:rsidRPr="0058279B">
        <w:rPr>
          <w:rFonts w:cs="Arial"/>
          <w:szCs w:val="24"/>
        </w:rPr>
        <w:t>rührt.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pStyle w:val="berschrift2"/>
        <w:jc w:val="both"/>
      </w:pPr>
      <w:r w:rsidRPr="0058279B">
        <w:t>4. Aufbewahrung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E161B1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Unter Aufbewahrung ist die Ablage von Fallakten bzw. Speicherung von Daten nach Abschluss des Falles bis zu deren Löschung zu verstehen.</w:t>
      </w:r>
    </w:p>
    <w:p w:rsidR="00E161B1" w:rsidRPr="0058279B" w:rsidRDefault="00E161B1" w:rsidP="00E161B1"/>
    <w:p w:rsidR="007F3C8A" w:rsidRPr="0058279B" w:rsidRDefault="007F3C8A" w:rsidP="00817F84">
      <w:pPr>
        <w:pStyle w:val="berschrift3"/>
        <w:jc w:val="both"/>
      </w:pPr>
      <w:r w:rsidRPr="0058279B">
        <w:t>4.1 Aufbewahrung schriftlicher Akten</w:t>
      </w:r>
    </w:p>
    <w:p w:rsidR="00E161B1" w:rsidRPr="0058279B" w:rsidRDefault="00E161B1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Schriftliche Fallakten sind mit dem Vernichtungsjahr zu versehen und zur Aufbewahrung in die Zentralregistratur zu überführen. Über die in der Registratur befindlichen Akten kann das jewe</w:t>
      </w:r>
      <w:r w:rsidRPr="0058279B">
        <w:rPr>
          <w:rFonts w:cs="Arial"/>
          <w:szCs w:val="24"/>
        </w:rPr>
        <w:t>i</w:t>
      </w:r>
      <w:r w:rsidRPr="0058279B">
        <w:rPr>
          <w:rFonts w:cs="Arial"/>
          <w:szCs w:val="24"/>
        </w:rPr>
        <w:t>lige Sachgebiet eine schriftliche oder elektronische Liste führen.</w:t>
      </w: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pStyle w:val="berschrift3"/>
        <w:jc w:val="both"/>
      </w:pPr>
      <w:r w:rsidRPr="0058279B">
        <w:t>4.2 Aufbewahrung von PROSOZ 14plus-Vorgängen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Im EDV-Verfahren PROSOZ 14plus ist ein abgeschlossener Fall durch den bei Abschluss z</w:t>
      </w:r>
      <w:r w:rsidRPr="0058279B">
        <w:rPr>
          <w:rFonts w:cs="Arial"/>
          <w:szCs w:val="24"/>
        </w:rPr>
        <w:t>u</w:t>
      </w:r>
      <w:r w:rsidRPr="0058279B">
        <w:rPr>
          <w:rFonts w:cs="Arial"/>
          <w:szCs w:val="24"/>
        </w:rPr>
        <w:t>ständigen Sachbearbeiter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pStyle w:val="Listenabsatz"/>
        <w:numPr>
          <w:ilvl w:val="0"/>
          <w:numId w:val="2"/>
        </w:num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 xml:space="preserve">mit dem Vorgangs-Ende-Datum sowie </w:t>
      </w:r>
    </w:p>
    <w:p w:rsidR="007F3C8A" w:rsidRPr="0058279B" w:rsidRDefault="007F3C8A" w:rsidP="00817F84">
      <w:pPr>
        <w:pStyle w:val="Listenabsatz"/>
        <w:numPr>
          <w:ilvl w:val="0"/>
          <w:numId w:val="2"/>
        </w:num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 xml:space="preserve">mit Löschkennzeichen und </w:t>
      </w:r>
    </w:p>
    <w:p w:rsidR="007F3C8A" w:rsidRPr="0058279B" w:rsidRDefault="007F3C8A" w:rsidP="00817F84">
      <w:pPr>
        <w:pStyle w:val="Listenabsatz"/>
        <w:numPr>
          <w:ilvl w:val="0"/>
          <w:numId w:val="2"/>
        </w:num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 xml:space="preserve">Löschdatum 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 xml:space="preserve">zu versehen und in den Archivbereich des jeweiligen Sachgebiets zu verschieben. 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E17958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 xml:space="preserve">Wird der Vorgang für eine während der Aufbewahrungszeit neu beantragte Hilfe benötigt, ist er aus dem Archivbereich wieder in den jeweiligen laufenden Arbeitsbereich zu übernehmen. Löschkennzeichen, Löschdatum </w:t>
      </w:r>
      <w:r w:rsidRPr="00E17958">
        <w:rPr>
          <w:rFonts w:cs="Arial"/>
          <w:szCs w:val="24"/>
        </w:rPr>
        <w:t>und anschließend das Vorgang-Ende-Datum sind in einem so</w:t>
      </w:r>
      <w:r w:rsidRPr="00E17958">
        <w:rPr>
          <w:rFonts w:cs="Arial"/>
          <w:szCs w:val="24"/>
        </w:rPr>
        <w:t>l</w:t>
      </w:r>
      <w:r w:rsidRPr="00E17958">
        <w:rPr>
          <w:rFonts w:cs="Arial"/>
          <w:szCs w:val="24"/>
        </w:rPr>
        <w:t xml:space="preserve">chen Fall unbedingt wieder zu entfernen. 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Eine Mehrfacherfassung von Vorgängen für den gleichen jungen Menschen ist - auch bei neu einzurichtenden Hilfen - unbedingt zu vermeiden.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Während der Aufbewahrungszeit ist der elektronische Vorgang zu sperren.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pStyle w:val="berschrift2"/>
        <w:jc w:val="both"/>
      </w:pPr>
      <w:r w:rsidRPr="0058279B">
        <w:t>5. Sperrung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 xml:space="preserve">Eine Sperrung abgeschlossener Fälle erfolgt in PROSOZ 14plus dadurch, dass diese Vorgänge durch die Archivierung von der laufenden Verarbeitung (Zahlungsläufe, Inventuren, Statistiken über laufende Fallbestände etc.) technisch ausgeschlossen sind. 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Analog der Möglichkeit, archivierte schriftliche Akten während der Aufbewahrungszeit aus der Zentralregistratur anfordern zu können, haben die Mitarbeiter in PROSOZ 14plus auf den jewe</w:t>
      </w:r>
      <w:r w:rsidRPr="0058279B">
        <w:rPr>
          <w:rFonts w:cs="Arial"/>
          <w:szCs w:val="24"/>
        </w:rPr>
        <w:t>i</w:t>
      </w:r>
      <w:r w:rsidRPr="0058279B">
        <w:rPr>
          <w:rFonts w:cs="Arial"/>
          <w:szCs w:val="24"/>
        </w:rPr>
        <w:t>ligen Archivbereich des eigenen Sachgebietes grundsätzlich Zugriff.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Zum Zwecke der Auswertung von (rückblickenden) Fallzahlverläufen und anderen Statistiken können die Daten der archivierten Vorgänge - ohne Ausweisung von persönlichen Daten einze</w:t>
      </w:r>
      <w:r w:rsidRPr="0058279B">
        <w:rPr>
          <w:rFonts w:cs="Arial"/>
          <w:szCs w:val="24"/>
        </w:rPr>
        <w:t>l</w:t>
      </w:r>
      <w:r w:rsidRPr="0058279B">
        <w:rPr>
          <w:rFonts w:cs="Arial"/>
          <w:szCs w:val="24"/>
        </w:rPr>
        <w:t>ner Beteiligter - herangezogen werden.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pStyle w:val="berschrift2"/>
        <w:jc w:val="both"/>
      </w:pPr>
      <w:r w:rsidRPr="0058279B">
        <w:t>6. Aufbewahrungsfristen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817F84" w:rsidRPr="00E17958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 xml:space="preserve">Für die Speicherung von Vorgängen mit Sozialdaten in PROSOZ 14plus und die Aufbewahrung von schriftlichen Fallakten in der Zentralregistratur gelten die gleichen Aufbewahrungsfristen. Die Aufbewahrungsfristen beginnen </w:t>
      </w:r>
      <w:r w:rsidRPr="00E17958">
        <w:rPr>
          <w:rFonts w:cs="Arial"/>
          <w:szCs w:val="24"/>
        </w:rPr>
        <w:t xml:space="preserve">jeweils mit dem auf den Fallabschluss folgenden 1. Januar und sind der Anlage zu dieser Geschäftsanweisung zu entnehmen. </w:t>
      </w:r>
    </w:p>
    <w:p w:rsidR="00EA57D9" w:rsidRPr="0058279B" w:rsidRDefault="00EA57D9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E17958">
        <w:rPr>
          <w:rFonts w:cs="Arial"/>
          <w:szCs w:val="24"/>
        </w:rPr>
        <w:t xml:space="preserve">Die in der Anlage nicht aufgeführten Akten sind grundsätzliche drei Jahre lang aufzubewahren. </w:t>
      </w:r>
      <w:r w:rsidRPr="0058279B">
        <w:rPr>
          <w:rFonts w:cs="Arial"/>
          <w:szCs w:val="24"/>
        </w:rPr>
        <w:t>Näheres regelt die Aktenordnung des Main-Taunus-Kreises.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E17958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lastRenderedPageBreak/>
        <w:t xml:space="preserve">Werden in einem PROSOZ 14plus - Vorgang oder in einer schriftlichen Fallakte verschiedene Hilfen mit unterschiedlicher Dauer </w:t>
      </w:r>
      <w:r w:rsidRPr="00E17958">
        <w:rPr>
          <w:rFonts w:cs="Arial"/>
          <w:szCs w:val="24"/>
        </w:rPr>
        <w:t>geführt oder enthält die Akte Bestandteile mit unterschiedl</w:t>
      </w:r>
      <w:r w:rsidRPr="00E17958">
        <w:rPr>
          <w:rFonts w:cs="Arial"/>
          <w:szCs w:val="24"/>
        </w:rPr>
        <w:t>i</w:t>
      </w:r>
      <w:r w:rsidRPr="00E17958">
        <w:rPr>
          <w:rFonts w:cs="Arial"/>
          <w:szCs w:val="24"/>
        </w:rPr>
        <w:t>chen Aufbewahrungsfristen, gilt als Aufbewahrungsfrist für den gesamten Vorgang / die gesa</w:t>
      </w:r>
      <w:r w:rsidRPr="00E17958">
        <w:rPr>
          <w:rFonts w:cs="Arial"/>
          <w:szCs w:val="24"/>
        </w:rPr>
        <w:t>m</w:t>
      </w:r>
      <w:r w:rsidRPr="00E17958">
        <w:rPr>
          <w:rFonts w:cs="Arial"/>
          <w:szCs w:val="24"/>
        </w:rPr>
        <w:t xml:space="preserve">te Fallakte die </w:t>
      </w:r>
      <w:r w:rsidRPr="00E17958">
        <w:rPr>
          <w:rFonts w:cs="Arial"/>
          <w:szCs w:val="24"/>
          <w:u w:val="single"/>
        </w:rPr>
        <w:t>zuletzt</w:t>
      </w:r>
      <w:r w:rsidRPr="00E17958">
        <w:rPr>
          <w:rFonts w:cs="Arial"/>
          <w:szCs w:val="24"/>
        </w:rPr>
        <w:t xml:space="preserve"> ablaufende Frist, soweit eine teilweise Löschung bzw. Vernichtung von Vorgangsteilen nicht möglich ist oder im Sachzusammenhang mit noch aufzubewahrenden Te</w:t>
      </w:r>
      <w:r w:rsidRPr="00E17958">
        <w:rPr>
          <w:rFonts w:cs="Arial"/>
          <w:szCs w:val="24"/>
        </w:rPr>
        <w:t>i</w:t>
      </w:r>
      <w:r w:rsidRPr="00E17958">
        <w:rPr>
          <w:rFonts w:cs="Arial"/>
          <w:szCs w:val="24"/>
        </w:rPr>
        <w:t>len steht.</w:t>
      </w:r>
    </w:p>
    <w:p w:rsidR="007F3C8A" w:rsidRPr="00E17958" w:rsidRDefault="007F3C8A" w:rsidP="00817F84">
      <w:pPr>
        <w:jc w:val="both"/>
        <w:rPr>
          <w:rFonts w:cs="Arial"/>
          <w:szCs w:val="24"/>
        </w:rPr>
      </w:pPr>
    </w:p>
    <w:p w:rsidR="007F3C8A" w:rsidRPr="00E17958" w:rsidRDefault="007F3C8A" w:rsidP="00817F84">
      <w:pPr>
        <w:jc w:val="both"/>
        <w:rPr>
          <w:rFonts w:cs="Arial"/>
          <w:szCs w:val="24"/>
        </w:rPr>
      </w:pPr>
      <w:r w:rsidRPr="00E17958">
        <w:rPr>
          <w:rFonts w:cs="Arial"/>
          <w:szCs w:val="24"/>
        </w:rPr>
        <w:t>Wenn mehrere Fristen angegeben sind, ist darüber hinaus nach den Empfehlungen der KGSt vor Ort das Risiko der kürzeren Frist abzuschätzen.</w:t>
      </w:r>
    </w:p>
    <w:p w:rsidR="007F3C8A" w:rsidRPr="00E17958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E17958">
        <w:rPr>
          <w:rFonts w:cs="Arial"/>
          <w:szCs w:val="24"/>
        </w:rPr>
        <w:t>Der Main-Taunus-Kreis richtet sich bei der Anwendung  nach den "Empfehlungen  zu den Au</w:t>
      </w:r>
      <w:r w:rsidRPr="00E17958">
        <w:rPr>
          <w:rFonts w:cs="Arial"/>
          <w:szCs w:val="24"/>
        </w:rPr>
        <w:t>f</w:t>
      </w:r>
      <w:r w:rsidRPr="00E17958">
        <w:rPr>
          <w:rFonts w:cs="Arial"/>
          <w:szCs w:val="24"/>
        </w:rPr>
        <w:t xml:space="preserve">bewahrungsfristen" der KGSt (die letzte Fassung </w:t>
      </w:r>
      <w:r w:rsidRPr="0058279B">
        <w:rPr>
          <w:rFonts w:cs="Arial"/>
          <w:szCs w:val="24"/>
        </w:rPr>
        <w:t xml:space="preserve">stammt aus dem Jahre 1997), die im KGSt-Bericht 4/2006 "Aufbewahrungsfristen für Kommunalverwaltungen" fortgeschrieben wurden. </w:t>
      </w:r>
    </w:p>
    <w:p w:rsidR="007F3C8A" w:rsidRPr="0058279B" w:rsidRDefault="007F3C8A" w:rsidP="00817F84">
      <w:pPr>
        <w:jc w:val="both"/>
        <w:rPr>
          <w:rFonts w:cs="Arial"/>
          <w:szCs w:val="24"/>
        </w:rPr>
      </w:pPr>
    </w:p>
    <w:p w:rsidR="007F3C8A" w:rsidRPr="0058279B" w:rsidRDefault="007F3C8A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Demnach gelten die genannten Aufbewahrungsfristen, soweit die Unterlagen Sozialdaten im Sinne des § 84 SGB X enthalten. Die Fristen sind jeweils in Jahren angegeben.</w:t>
      </w: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58279B" w:rsidRDefault="00817F84" w:rsidP="00817F84">
      <w:pPr>
        <w:pStyle w:val="berschrift2"/>
      </w:pPr>
      <w:r w:rsidRPr="0058279B">
        <w:t>7. Vernichtung und Löschung</w:t>
      </w: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58279B" w:rsidRDefault="00817F84" w:rsidP="00817F84">
      <w:pPr>
        <w:pStyle w:val="berschrift3"/>
      </w:pPr>
      <w:r w:rsidRPr="0058279B">
        <w:t>7.1 Durchführen der Vernichtung bzw. Löschung</w:t>
      </w: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58279B" w:rsidRDefault="00817F84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Die Vernichtung schriftlicher Fallakten erfolgt durch die Zentralregistratur.</w:t>
      </w:r>
      <w:r w:rsidR="00E161B1" w:rsidRPr="0058279B">
        <w:rPr>
          <w:rFonts w:cs="Arial"/>
          <w:szCs w:val="24"/>
        </w:rPr>
        <w:t xml:space="preserve"> </w:t>
      </w:r>
      <w:r w:rsidRPr="0058279B">
        <w:rPr>
          <w:rFonts w:cs="Arial"/>
          <w:szCs w:val="24"/>
        </w:rPr>
        <w:t>Elektronisch gespe</w:t>
      </w:r>
      <w:r w:rsidRPr="0058279B">
        <w:rPr>
          <w:rFonts w:cs="Arial"/>
          <w:szCs w:val="24"/>
        </w:rPr>
        <w:t>i</w:t>
      </w:r>
      <w:r w:rsidRPr="0058279B">
        <w:rPr>
          <w:rFonts w:cs="Arial"/>
          <w:szCs w:val="24"/>
        </w:rPr>
        <w:t>cherte Sozialdaten sind nach Ablauf der vorgenannten Fristen zu vernichten bzw. endgültig ph</w:t>
      </w:r>
      <w:r w:rsidRPr="0058279B">
        <w:rPr>
          <w:rFonts w:cs="Arial"/>
          <w:szCs w:val="24"/>
        </w:rPr>
        <w:t>y</w:t>
      </w:r>
      <w:r w:rsidRPr="0058279B">
        <w:rPr>
          <w:rFonts w:cs="Arial"/>
          <w:szCs w:val="24"/>
        </w:rPr>
        <w:t xml:space="preserve">sikalisch zu löschen. </w:t>
      </w: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EA57D9" w:rsidRDefault="00817F84" w:rsidP="00817F84">
      <w:pPr>
        <w:jc w:val="both"/>
        <w:rPr>
          <w:rFonts w:cs="Arial"/>
          <w:i/>
          <w:color w:val="FF0000"/>
          <w:szCs w:val="24"/>
        </w:rPr>
      </w:pPr>
      <w:r w:rsidRPr="0058279B">
        <w:rPr>
          <w:rFonts w:cs="Arial"/>
          <w:szCs w:val="24"/>
        </w:rPr>
        <w:t>Die Verantwortung für das korrekt eingetragene Löschdatum im einzelnen Fall liegt beim z</w:t>
      </w:r>
      <w:r w:rsidRPr="0058279B">
        <w:rPr>
          <w:rFonts w:cs="Arial"/>
          <w:szCs w:val="24"/>
        </w:rPr>
        <w:t>u</w:t>
      </w:r>
      <w:r w:rsidRPr="0058279B">
        <w:rPr>
          <w:rFonts w:cs="Arial"/>
          <w:szCs w:val="24"/>
        </w:rPr>
        <w:t xml:space="preserve">ständigen Sachbearbeiter. Die endgültige Löschung </w:t>
      </w:r>
      <w:r w:rsidR="00E161B1" w:rsidRPr="0058279B">
        <w:rPr>
          <w:rFonts w:cs="Arial"/>
          <w:szCs w:val="24"/>
        </w:rPr>
        <w:t>nicht mehr aufzubewahrender</w:t>
      </w:r>
      <w:r w:rsidRPr="0058279B">
        <w:rPr>
          <w:rFonts w:cs="Arial"/>
          <w:szCs w:val="24"/>
        </w:rPr>
        <w:t xml:space="preserve"> </w:t>
      </w:r>
      <w:r w:rsidR="00E161B1" w:rsidRPr="0058279B">
        <w:rPr>
          <w:rFonts w:cs="Arial"/>
          <w:szCs w:val="24"/>
        </w:rPr>
        <w:t xml:space="preserve">Vorgänge und Adresse </w:t>
      </w:r>
      <w:r w:rsidRPr="0058279B">
        <w:rPr>
          <w:rFonts w:cs="Arial"/>
          <w:szCs w:val="24"/>
        </w:rPr>
        <w:t>in PROSOZ 14plus ob</w:t>
      </w:r>
      <w:r w:rsidR="00E161B1" w:rsidRPr="0058279B">
        <w:rPr>
          <w:rFonts w:cs="Arial"/>
          <w:szCs w:val="24"/>
        </w:rPr>
        <w:t xml:space="preserve">liegt der Systemadministration </w:t>
      </w:r>
      <w:r w:rsidR="00E161B1" w:rsidRPr="00E17958">
        <w:rPr>
          <w:rFonts w:cs="Arial"/>
          <w:szCs w:val="24"/>
        </w:rPr>
        <w:t>und ist</w:t>
      </w:r>
      <w:r w:rsidRPr="00E17958">
        <w:rPr>
          <w:rFonts w:cs="Arial"/>
          <w:szCs w:val="24"/>
        </w:rPr>
        <w:t xml:space="preserve"> mindestens einmal jährlich durchzuführen.</w:t>
      </w: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58279B" w:rsidRDefault="00817F84" w:rsidP="00817F84">
      <w:pPr>
        <w:pStyle w:val="berschrift3"/>
      </w:pPr>
      <w:r w:rsidRPr="0058279B">
        <w:t xml:space="preserve">7.2 Sofortige Vernichtung und Löschung </w:t>
      </w: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58279B" w:rsidRDefault="00817F84" w:rsidP="00817F84">
      <w:pPr>
        <w:jc w:val="both"/>
        <w:rPr>
          <w:rFonts w:cs="Arial"/>
          <w:szCs w:val="24"/>
        </w:rPr>
      </w:pPr>
      <w:r w:rsidRPr="0058279B">
        <w:rPr>
          <w:rFonts w:cs="Arial"/>
          <w:szCs w:val="24"/>
        </w:rPr>
        <w:t>Schriftliche Fallakten sowie in PROSOZ 14plus gespeicherte Vorgänge und Adressen, die au</w:t>
      </w:r>
      <w:r w:rsidRPr="0058279B">
        <w:rPr>
          <w:rFonts w:cs="Arial"/>
          <w:szCs w:val="24"/>
        </w:rPr>
        <w:t>f</w:t>
      </w:r>
      <w:r w:rsidRPr="0058279B">
        <w:rPr>
          <w:rFonts w:cs="Arial"/>
          <w:szCs w:val="24"/>
        </w:rPr>
        <w:t>grund früherer Regelungen noch aufbewahrt werden und deren Aufbewahrungsfrist gemäß di</w:t>
      </w:r>
      <w:r w:rsidRPr="0058279B">
        <w:rPr>
          <w:rFonts w:cs="Arial"/>
          <w:szCs w:val="24"/>
        </w:rPr>
        <w:t>e</w:t>
      </w:r>
      <w:r w:rsidRPr="0058279B">
        <w:rPr>
          <w:rFonts w:cs="Arial"/>
          <w:szCs w:val="24"/>
        </w:rPr>
        <w:t>ser Geschäftsanweisung bereits abgelaufen ist, sind sofort zu vernichten bzw. zu löschen.</w:t>
      </w: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58279B" w:rsidRDefault="00817F84" w:rsidP="00817F84">
      <w:pPr>
        <w:pStyle w:val="berschrift2"/>
      </w:pPr>
      <w:r w:rsidRPr="0058279B">
        <w:t>8. Inkrafttreten</w:t>
      </w: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58279B" w:rsidRDefault="00817F84" w:rsidP="00817F84">
      <w:pPr>
        <w:jc w:val="both"/>
        <w:rPr>
          <w:rFonts w:cs="Arial"/>
          <w:szCs w:val="24"/>
        </w:rPr>
      </w:pPr>
      <w:r w:rsidRPr="00E17958">
        <w:rPr>
          <w:rFonts w:cs="Arial"/>
          <w:szCs w:val="24"/>
        </w:rPr>
        <w:t xml:space="preserve">Diese Geschäftsanweisung </w:t>
      </w:r>
      <w:r w:rsidR="00E161B1" w:rsidRPr="00E17958">
        <w:rPr>
          <w:rFonts w:cs="Arial"/>
          <w:szCs w:val="24"/>
        </w:rPr>
        <w:t>ersetzt die Geschäftsanweisung</w:t>
      </w:r>
      <w:r w:rsidR="00CF3163">
        <w:rPr>
          <w:rFonts w:cs="Arial"/>
          <w:szCs w:val="24"/>
        </w:rPr>
        <w:t xml:space="preserve"> vom 09.04.2010</w:t>
      </w:r>
      <w:r w:rsidRPr="0058279B">
        <w:rPr>
          <w:rFonts w:cs="Arial"/>
          <w:szCs w:val="24"/>
        </w:rPr>
        <w:t>.</w:t>
      </w:r>
    </w:p>
    <w:p w:rsidR="00817F84" w:rsidRPr="0058279B" w:rsidRDefault="00817F84" w:rsidP="00817F84">
      <w:pPr>
        <w:jc w:val="both"/>
        <w:rPr>
          <w:rFonts w:cs="Arial"/>
          <w:szCs w:val="24"/>
        </w:rPr>
      </w:pPr>
    </w:p>
    <w:p w:rsidR="00817F84" w:rsidRPr="00E17958" w:rsidRDefault="00817F84" w:rsidP="00817F84">
      <w:pPr>
        <w:jc w:val="both"/>
        <w:rPr>
          <w:rFonts w:cs="Arial"/>
          <w:szCs w:val="24"/>
        </w:rPr>
      </w:pPr>
      <w:r w:rsidRPr="00E17958">
        <w:rPr>
          <w:rFonts w:cs="Arial"/>
          <w:szCs w:val="24"/>
        </w:rPr>
        <w:t xml:space="preserve">Hofheim, den </w:t>
      </w:r>
      <w:r w:rsidR="00CF3163">
        <w:rPr>
          <w:rFonts w:cs="Arial"/>
          <w:szCs w:val="24"/>
        </w:rPr>
        <w:t>13</w:t>
      </w:r>
      <w:r w:rsidR="00E161B1" w:rsidRPr="00E17958">
        <w:rPr>
          <w:rFonts w:cs="Arial"/>
          <w:szCs w:val="24"/>
        </w:rPr>
        <w:t>.08.2018</w:t>
      </w:r>
    </w:p>
    <w:p w:rsidR="00817F84" w:rsidRPr="00E17958" w:rsidRDefault="00817F84" w:rsidP="00817F84">
      <w:pPr>
        <w:jc w:val="both"/>
        <w:rPr>
          <w:rFonts w:cs="Arial"/>
          <w:szCs w:val="24"/>
        </w:rPr>
      </w:pPr>
    </w:p>
    <w:p w:rsidR="00817F84" w:rsidRPr="00E17958" w:rsidRDefault="00817F84" w:rsidP="00817F84">
      <w:pPr>
        <w:jc w:val="both"/>
        <w:rPr>
          <w:rFonts w:cs="Arial"/>
          <w:szCs w:val="24"/>
        </w:rPr>
      </w:pPr>
      <w:r w:rsidRPr="00E17958">
        <w:rPr>
          <w:rFonts w:cs="Arial"/>
          <w:szCs w:val="24"/>
        </w:rPr>
        <w:t>gez.</w:t>
      </w:r>
    </w:p>
    <w:p w:rsidR="00817F84" w:rsidRPr="00E17958" w:rsidRDefault="00817F84" w:rsidP="00817F84">
      <w:pPr>
        <w:jc w:val="both"/>
        <w:rPr>
          <w:rFonts w:cs="Arial"/>
          <w:szCs w:val="24"/>
        </w:rPr>
      </w:pPr>
    </w:p>
    <w:p w:rsidR="00EA57D9" w:rsidRPr="00E17958" w:rsidRDefault="00817F84" w:rsidP="00817F84">
      <w:pPr>
        <w:jc w:val="both"/>
        <w:rPr>
          <w:rFonts w:cs="Arial"/>
          <w:szCs w:val="24"/>
        </w:rPr>
      </w:pPr>
      <w:r w:rsidRPr="00E17958">
        <w:rPr>
          <w:rFonts w:cs="Arial"/>
          <w:szCs w:val="24"/>
        </w:rPr>
        <w:t>(</w:t>
      </w:r>
      <w:r w:rsidR="00E161B1" w:rsidRPr="00E17958">
        <w:rPr>
          <w:rFonts w:cs="Arial"/>
          <w:szCs w:val="24"/>
        </w:rPr>
        <w:t>Gert Nötzel)</w:t>
      </w:r>
    </w:p>
    <w:p w:rsidR="007F3C8A" w:rsidRPr="00EA57D9" w:rsidRDefault="00817F84" w:rsidP="00817F84">
      <w:pPr>
        <w:jc w:val="both"/>
        <w:rPr>
          <w:rFonts w:cs="Arial"/>
          <w:color w:val="FF0000"/>
          <w:szCs w:val="24"/>
        </w:rPr>
      </w:pPr>
      <w:r w:rsidRPr="00E17958">
        <w:rPr>
          <w:rFonts w:cs="Arial"/>
          <w:szCs w:val="24"/>
        </w:rPr>
        <w:t>Amtsleiter</w:t>
      </w:r>
      <w:r w:rsidR="007F3C8A" w:rsidRPr="0058279B">
        <w:br w:type="page"/>
      </w:r>
    </w:p>
    <w:p w:rsidR="00817F84" w:rsidRPr="0058279B" w:rsidRDefault="00817F84" w:rsidP="00817F84">
      <w:pPr>
        <w:pStyle w:val="berschrift1"/>
      </w:pPr>
      <w:r w:rsidRPr="0058279B">
        <w:lastRenderedPageBreak/>
        <w:t>Anlage</w:t>
      </w:r>
    </w:p>
    <w:p w:rsidR="00817F84" w:rsidRDefault="00817F84" w:rsidP="0058279B">
      <w:pPr>
        <w:rPr>
          <w:sz w:val="22"/>
          <w:szCs w:val="22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3148"/>
      </w:tblGrid>
      <w:tr w:rsidR="00E17958" w:rsidRPr="00E17958" w:rsidTr="00CF08F4">
        <w:tc>
          <w:tcPr>
            <w:tcW w:w="2552" w:type="dxa"/>
            <w:shd w:val="clear" w:color="auto" w:fill="FFFF99"/>
          </w:tcPr>
          <w:p w:rsidR="00CF08F4" w:rsidRPr="00E17958" w:rsidRDefault="00CF08F4" w:rsidP="008701B1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E17958">
              <w:rPr>
                <w:rFonts w:ascii="AauxPro OT Black" w:hAnsi="AauxPro OT Black" w:cs="Arial"/>
                <w:sz w:val="22"/>
                <w:szCs w:val="22"/>
              </w:rPr>
              <w:t>Sachgebiet / Bereich</w:t>
            </w:r>
          </w:p>
        </w:tc>
        <w:tc>
          <w:tcPr>
            <w:tcW w:w="3969" w:type="dxa"/>
            <w:shd w:val="clear" w:color="auto" w:fill="FFFF99"/>
          </w:tcPr>
          <w:p w:rsidR="00CF08F4" w:rsidRPr="00E17958" w:rsidRDefault="00CF08F4" w:rsidP="008701B1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E17958">
              <w:rPr>
                <w:rFonts w:ascii="AauxPro OT Black" w:hAnsi="AauxPro OT Black" w:cs="Arial"/>
                <w:sz w:val="22"/>
                <w:szCs w:val="22"/>
              </w:rPr>
              <w:t>Gegenstand</w:t>
            </w:r>
          </w:p>
        </w:tc>
        <w:tc>
          <w:tcPr>
            <w:tcW w:w="3148" w:type="dxa"/>
            <w:shd w:val="clear" w:color="auto" w:fill="FFFF99"/>
          </w:tcPr>
          <w:p w:rsidR="00CF08F4" w:rsidRPr="00E17958" w:rsidRDefault="00CF08F4" w:rsidP="008701B1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E17958">
              <w:rPr>
                <w:rFonts w:ascii="AauxPro OT Black" w:hAnsi="AauxPro OT Black" w:cs="Arial"/>
                <w:sz w:val="22"/>
                <w:szCs w:val="22"/>
              </w:rPr>
              <w:t>Aufbewahrungsfrist</w:t>
            </w:r>
          </w:p>
        </w:tc>
      </w:tr>
      <w:tr w:rsidR="00E17958" w:rsidRPr="00E17958" w:rsidTr="00CF08F4">
        <w:tc>
          <w:tcPr>
            <w:tcW w:w="2552" w:type="dxa"/>
            <w:vMerge w:val="restart"/>
            <w:shd w:val="clear" w:color="auto" w:fill="auto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</w:p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51.1 </w:t>
            </w:r>
          </w:p>
          <w:p w:rsidR="00CF08F4" w:rsidRPr="00E17958" w:rsidRDefault="00CF08F4" w:rsidP="00CF08F4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Ganztag, Betreuung, Organisation, Kultur</w:t>
            </w:r>
          </w:p>
        </w:tc>
        <w:tc>
          <w:tcPr>
            <w:tcW w:w="3969" w:type="dxa"/>
          </w:tcPr>
          <w:p w:rsidR="00CF08F4" w:rsidRPr="00E17958" w:rsidRDefault="00CF08F4" w:rsidP="00CF08F4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Einzelakten Schulkindbetreuung</w:t>
            </w:r>
          </w:p>
        </w:tc>
        <w:tc>
          <w:tcPr>
            <w:tcW w:w="3148" w:type="dxa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10</w:t>
            </w:r>
          </w:p>
        </w:tc>
      </w:tr>
      <w:tr w:rsidR="00E17958" w:rsidRPr="00E17958" w:rsidTr="00CF08F4">
        <w:tc>
          <w:tcPr>
            <w:tcW w:w="2552" w:type="dxa"/>
            <w:vMerge/>
            <w:shd w:val="clear" w:color="auto" w:fill="auto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CF08F4" w:rsidRPr="00E17958" w:rsidRDefault="00CF08F4" w:rsidP="00CF08F4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Elternbeiträge </w:t>
            </w:r>
          </w:p>
        </w:tc>
        <w:tc>
          <w:tcPr>
            <w:tcW w:w="3148" w:type="dxa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6</w:t>
            </w:r>
          </w:p>
        </w:tc>
      </w:tr>
      <w:tr w:rsidR="00E17958" w:rsidRPr="00E17958" w:rsidTr="00CF08F4">
        <w:tc>
          <w:tcPr>
            <w:tcW w:w="2552" w:type="dxa"/>
            <w:vMerge/>
            <w:shd w:val="clear" w:color="auto" w:fill="auto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Jahresabschlüsse</w:t>
            </w:r>
          </w:p>
        </w:tc>
        <w:tc>
          <w:tcPr>
            <w:tcW w:w="3148" w:type="dxa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10/30/Dauerhaft</w:t>
            </w:r>
          </w:p>
        </w:tc>
      </w:tr>
      <w:tr w:rsidR="00E17958" w:rsidRPr="00E17958" w:rsidTr="00CF08F4">
        <w:tc>
          <w:tcPr>
            <w:tcW w:w="2552" w:type="dxa"/>
            <w:vMerge/>
            <w:shd w:val="clear" w:color="auto" w:fill="auto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Jahreskontoauszüge</w:t>
            </w:r>
          </w:p>
        </w:tc>
        <w:tc>
          <w:tcPr>
            <w:tcW w:w="3148" w:type="dxa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10</w:t>
            </w:r>
          </w:p>
        </w:tc>
      </w:tr>
      <w:tr w:rsidR="00E17958" w:rsidRPr="00E17958" w:rsidTr="00CF08F4">
        <w:tc>
          <w:tcPr>
            <w:tcW w:w="2552" w:type="dxa"/>
            <w:vMerge/>
            <w:shd w:val="clear" w:color="auto" w:fill="auto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Niederschlagungslisten</w:t>
            </w:r>
          </w:p>
        </w:tc>
        <w:tc>
          <w:tcPr>
            <w:tcW w:w="3148" w:type="dxa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6</w:t>
            </w:r>
          </w:p>
        </w:tc>
      </w:tr>
      <w:tr w:rsidR="00E17958" w:rsidRPr="00E17958" w:rsidTr="00CF08F4">
        <w:tc>
          <w:tcPr>
            <w:tcW w:w="2552" w:type="dxa"/>
            <w:vMerge/>
            <w:shd w:val="clear" w:color="auto" w:fill="auto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Kulturelle Angelegenheiten</w:t>
            </w:r>
          </w:p>
        </w:tc>
        <w:tc>
          <w:tcPr>
            <w:tcW w:w="3148" w:type="dxa"/>
          </w:tcPr>
          <w:p w:rsidR="00CF08F4" w:rsidRPr="00E17958" w:rsidRDefault="00CF08F4" w:rsidP="008701B1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nach Bedarf</w:t>
            </w:r>
          </w:p>
        </w:tc>
      </w:tr>
    </w:tbl>
    <w:p w:rsidR="00CF08F4" w:rsidRDefault="00CF08F4" w:rsidP="0058279B">
      <w:pPr>
        <w:rPr>
          <w:sz w:val="22"/>
          <w:szCs w:val="22"/>
        </w:rPr>
      </w:pPr>
    </w:p>
    <w:p w:rsidR="00CF08F4" w:rsidRPr="0058279B" w:rsidRDefault="00CF08F4" w:rsidP="0058279B">
      <w:pPr>
        <w:rPr>
          <w:sz w:val="22"/>
          <w:szCs w:val="22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3148"/>
      </w:tblGrid>
      <w:tr w:rsidR="00E17958" w:rsidRPr="00E17958" w:rsidTr="0058279B">
        <w:tc>
          <w:tcPr>
            <w:tcW w:w="2552" w:type="dxa"/>
            <w:shd w:val="clear" w:color="auto" w:fill="FFFF99"/>
          </w:tcPr>
          <w:p w:rsidR="007F3C8A" w:rsidRPr="00E17958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E17958">
              <w:rPr>
                <w:rFonts w:ascii="AauxPro OT Black" w:hAnsi="AauxPro OT Black"/>
                <w:sz w:val="22"/>
                <w:szCs w:val="22"/>
              </w:rPr>
              <w:br w:type="page"/>
            </w:r>
            <w:r w:rsidRPr="00E17958">
              <w:rPr>
                <w:rFonts w:ascii="AauxPro OT Black" w:hAnsi="AauxPro OT Black"/>
                <w:sz w:val="22"/>
                <w:szCs w:val="22"/>
              </w:rPr>
              <w:br w:type="page"/>
            </w:r>
            <w:r w:rsidRPr="00E17958">
              <w:rPr>
                <w:rFonts w:ascii="AauxPro OT Black" w:hAnsi="AauxPro OT Black" w:cs="Arial"/>
                <w:sz w:val="22"/>
                <w:szCs w:val="22"/>
              </w:rPr>
              <w:t>Sachgebiet / Bereich</w:t>
            </w:r>
          </w:p>
        </w:tc>
        <w:tc>
          <w:tcPr>
            <w:tcW w:w="3969" w:type="dxa"/>
            <w:shd w:val="clear" w:color="auto" w:fill="FFFF99"/>
          </w:tcPr>
          <w:p w:rsidR="007F3C8A" w:rsidRPr="00E17958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E17958">
              <w:rPr>
                <w:rFonts w:ascii="AauxPro OT Black" w:hAnsi="AauxPro OT Black" w:cs="Arial"/>
                <w:sz w:val="22"/>
                <w:szCs w:val="22"/>
              </w:rPr>
              <w:t>Gegenstand</w:t>
            </w:r>
          </w:p>
        </w:tc>
        <w:tc>
          <w:tcPr>
            <w:tcW w:w="3148" w:type="dxa"/>
            <w:shd w:val="clear" w:color="auto" w:fill="FFFF99"/>
          </w:tcPr>
          <w:p w:rsidR="007F3C8A" w:rsidRPr="00E17958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E17958">
              <w:rPr>
                <w:rFonts w:ascii="AauxPro OT Black" w:hAnsi="AauxPro OT Black" w:cs="Arial"/>
                <w:sz w:val="22"/>
                <w:szCs w:val="22"/>
              </w:rPr>
              <w:t>Aufbewahrungsfrist</w:t>
            </w:r>
          </w:p>
        </w:tc>
      </w:tr>
      <w:tr w:rsidR="00E17958" w:rsidRPr="00E17958" w:rsidTr="0058279B">
        <w:tc>
          <w:tcPr>
            <w:tcW w:w="2552" w:type="dxa"/>
            <w:vMerge w:val="restart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51.2 </w:t>
            </w:r>
          </w:p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Soziale Dienste</w:t>
            </w: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Adoptionen</w:t>
            </w:r>
            <w:r w:rsidR="00E161B1" w:rsidRPr="00E17958">
              <w:rPr>
                <w:rFonts w:cs="Arial"/>
                <w:sz w:val="22"/>
                <w:szCs w:val="22"/>
              </w:rPr>
              <w:t xml:space="preserve"> und Stiefkindadoptionen</w:t>
            </w:r>
          </w:p>
        </w:tc>
        <w:tc>
          <w:tcPr>
            <w:tcW w:w="3148" w:type="dxa"/>
          </w:tcPr>
          <w:p w:rsidR="007F3C8A" w:rsidRPr="00E17958" w:rsidRDefault="00E161B1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100 </w:t>
            </w:r>
            <w:r w:rsidR="00CF08F4" w:rsidRPr="00E17958">
              <w:rPr>
                <w:rFonts w:cs="Arial"/>
                <w:sz w:val="22"/>
                <w:szCs w:val="22"/>
              </w:rPr>
              <w:t xml:space="preserve">ab Geburt </w:t>
            </w:r>
            <w:r w:rsidRPr="00E17958">
              <w:rPr>
                <w:rFonts w:cs="Arial"/>
                <w:sz w:val="22"/>
                <w:szCs w:val="22"/>
              </w:rPr>
              <w:t>(§ 9b AdVermiG)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Allgemeine Förderung der Erziehung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10</w:t>
            </w:r>
          </w:p>
        </w:tc>
      </w:tr>
      <w:tr w:rsidR="00E17958" w:rsidRPr="00E17958" w:rsidTr="00CF08F4">
        <w:tc>
          <w:tcPr>
            <w:tcW w:w="2552" w:type="dxa"/>
            <w:vMerge/>
          </w:tcPr>
          <w:p w:rsidR="00CF08F4" w:rsidRPr="00E17958" w:rsidRDefault="00CF08F4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CF08F4" w:rsidRPr="00E17958" w:rsidRDefault="00CF08F4" w:rsidP="00CF08F4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Beratungsdienste iSd Verwaltungsve</w:t>
            </w:r>
            <w:r w:rsidRPr="00E17958">
              <w:rPr>
                <w:rFonts w:cs="Arial"/>
                <w:sz w:val="22"/>
                <w:szCs w:val="22"/>
              </w:rPr>
              <w:t>r</w:t>
            </w:r>
            <w:r w:rsidRPr="00E17958">
              <w:rPr>
                <w:rFonts w:cs="Arial"/>
                <w:sz w:val="22"/>
                <w:szCs w:val="22"/>
              </w:rPr>
              <w:t>fahrens bei Erziehungsproblemen</w:t>
            </w:r>
          </w:p>
        </w:tc>
        <w:tc>
          <w:tcPr>
            <w:tcW w:w="3148" w:type="dxa"/>
          </w:tcPr>
          <w:p w:rsidR="00CF08F4" w:rsidRPr="00E17958" w:rsidRDefault="00CF08F4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5/30/Dauerhaft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Einrichtungen der Jugendhilfe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30/Dauerhaft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Erziehungsbeistandschaften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1/10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Erziehungsberatung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1/10</w:t>
            </w:r>
          </w:p>
        </w:tc>
      </w:tr>
      <w:tr w:rsidR="00E17958" w:rsidRPr="00E17958" w:rsidTr="0031246A">
        <w:trPr>
          <w:trHeight w:val="870"/>
        </w:trPr>
        <w:tc>
          <w:tcPr>
            <w:tcW w:w="2552" w:type="dxa"/>
            <w:vMerge/>
          </w:tcPr>
          <w:p w:rsidR="00CF08F4" w:rsidRPr="00E17958" w:rsidRDefault="00CF08F4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CF08F4" w:rsidRPr="00E17958" w:rsidRDefault="00CF08F4" w:rsidP="00CF08F4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Hilfe zur Erziehung (inkl. Berei</w:t>
            </w:r>
            <w:r w:rsidRPr="00E17958">
              <w:rPr>
                <w:rFonts w:cs="Arial"/>
                <w:sz w:val="22"/>
                <w:szCs w:val="22"/>
              </w:rPr>
              <w:t>t</w:t>
            </w:r>
            <w:r w:rsidRPr="00E17958">
              <w:rPr>
                <w:rFonts w:cs="Arial"/>
                <w:sz w:val="22"/>
                <w:szCs w:val="22"/>
              </w:rPr>
              <w:t>schaftspflegekinder) und für junge Vol</w:t>
            </w:r>
            <w:r w:rsidRPr="00E17958">
              <w:rPr>
                <w:rFonts w:cs="Arial"/>
                <w:sz w:val="22"/>
                <w:szCs w:val="22"/>
              </w:rPr>
              <w:t>l</w:t>
            </w:r>
            <w:r w:rsidRPr="00E17958">
              <w:rPr>
                <w:rFonts w:cs="Arial"/>
                <w:sz w:val="22"/>
                <w:szCs w:val="22"/>
              </w:rPr>
              <w:t>jährige sowie Eingliederungshilfe</w:t>
            </w:r>
          </w:p>
        </w:tc>
        <w:tc>
          <w:tcPr>
            <w:tcW w:w="3148" w:type="dxa"/>
          </w:tcPr>
          <w:p w:rsidR="00CF08F4" w:rsidRPr="00E17958" w:rsidRDefault="00CF08F4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10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Jugendarbeitsschutz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10/30/Dauerhaft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Jugendgerichtshilfe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5</w:t>
            </w:r>
          </w:p>
        </w:tc>
      </w:tr>
      <w:tr w:rsidR="00E17958" w:rsidRPr="00E17958" w:rsidTr="00CF08F4">
        <w:tc>
          <w:tcPr>
            <w:tcW w:w="2552" w:type="dxa"/>
            <w:vMerge/>
          </w:tcPr>
          <w:p w:rsidR="00CF08F4" w:rsidRPr="00E17958" w:rsidRDefault="00CF08F4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CF08F4" w:rsidRPr="00E17958" w:rsidRDefault="00CF08F4" w:rsidP="00CF08F4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Jugendpflege- und Jugendschutz </w:t>
            </w:r>
          </w:p>
        </w:tc>
        <w:tc>
          <w:tcPr>
            <w:tcW w:w="3148" w:type="dxa"/>
          </w:tcPr>
          <w:p w:rsidR="00CF08F4" w:rsidRPr="00E17958" w:rsidRDefault="00CF08F4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10/30/Dauerhaft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Konfliktberatung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10/30/Dauerhaft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Mitwirkung in Familiengerichts</w:t>
            </w:r>
            <w:r w:rsidR="00F21385" w:rsidRPr="00E17958">
              <w:rPr>
                <w:rFonts w:cs="Arial"/>
                <w:sz w:val="22"/>
                <w:szCs w:val="22"/>
              </w:rPr>
              <w:t>-</w:t>
            </w:r>
            <w:r w:rsidRPr="00E17958">
              <w:rPr>
                <w:rFonts w:cs="Arial"/>
                <w:sz w:val="22"/>
                <w:szCs w:val="22"/>
              </w:rPr>
              <w:t>verfahren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10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E161B1" w:rsidRPr="00E17958" w:rsidRDefault="00E161B1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E161B1" w:rsidRPr="00E17958" w:rsidRDefault="00CF08F4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(Bereitschafts)</w:t>
            </w:r>
            <w:r w:rsidR="00E161B1" w:rsidRPr="00E17958">
              <w:rPr>
                <w:rFonts w:cs="Arial"/>
                <w:sz w:val="22"/>
                <w:szCs w:val="22"/>
              </w:rPr>
              <w:t xml:space="preserve">Pflegestellenakten, </w:t>
            </w:r>
          </w:p>
          <w:p w:rsidR="00E161B1" w:rsidRPr="00E17958" w:rsidRDefault="00E161B1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Akten zu anerkannten Bewerbern</w:t>
            </w:r>
          </w:p>
        </w:tc>
        <w:tc>
          <w:tcPr>
            <w:tcW w:w="3148" w:type="dxa"/>
          </w:tcPr>
          <w:p w:rsidR="00E161B1" w:rsidRPr="00E17958" w:rsidRDefault="00E161B1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15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E161B1" w:rsidRPr="00E17958" w:rsidRDefault="00E161B1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E161B1" w:rsidRPr="00E17958" w:rsidRDefault="0058279B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Abgebrochene Pflegestellen</w:t>
            </w:r>
            <w:r w:rsidR="00F21385" w:rsidRPr="00E17958">
              <w:rPr>
                <w:rFonts w:cs="Arial"/>
                <w:sz w:val="22"/>
                <w:szCs w:val="22"/>
              </w:rPr>
              <w:t>-</w:t>
            </w:r>
            <w:r w:rsidRPr="00E17958">
              <w:rPr>
                <w:rFonts w:cs="Arial"/>
                <w:sz w:val="22"/>
                <w:szCs w:val="22"/>
              </w:rPr>
              <w:t>bewerberakten</w:t>
            </w:r>
          </w:p>
        </w:tc>
        <w:tc>
          <w:tcPr>
            <w:tcW w:w="3148" w:type="dxa"/>
          </w:tcPr>
          <w:p w:rsidR="00E161B1" w:rsidRPr="00E17958" w:rsidRDefault="0058279B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5</w:t>
            </w:r>
          </w:p>
        </w:tc>
      </w:tr>
      <w:tr w:rsidR="00E17958" w:rsidRPr="00E17958" w:rsidTr="00CF08F4">
        <w:tc>
          <w:tcPr>
            <w:tcW w:w="2552" w:type="dxa"/>
            <w:vMerge/>
          </w:tcPr>
          <w:p w:rsidR="00CF08F4" w:rsidRPr="00E17958" w:rsidRDefault="00CF08F4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CF08F4" w:rsidRPr="00E17958" w:rsidRDefault="00CF08F4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Psychologische Beratung</w:t>
            </w:r>
          </w:p>
        </w:tc>
        <w:tc>
          <w:tcPr>
            <w:tcW w:w="3148" w:type="dxa"/>
          </w:tcPr>
          <w:p w:rsidR="00CF08F4" w:rsidRPr="00E17958" w:rsidRDefault="00CF08F4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10/30/Dauerhaft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CF08F4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Unterbringung im Frauenhaus </w:t>
            </w:r>
            <w:r w:rsidR="00CF08F4" w:rsidRPr="00E17958">
              <w:rPr>
                <w:rFonts w:cs="Arial"/>
                <w:sz w:val="22"/>
                <w:szCs w:val="22"/>
              </w:rPr>
              <w:t>o.ä.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5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Vollzeitpflege</w:t>
            </w:r>
          </w:p>
        </w:tc>
        <w:tc>
          <w:tcPr>
            <w:tcW w:w="3148" w:type="dxa"/>
          </w:tcPr>
          <w:p w:rsidR="007F3C8A" w:rsidRPr="00E17958" w:rsidRDefault="00E161B1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5</w:t>
            </w:r>
            <w:r w:rsidR="007F3C8A" w:rsidRPr="00E17958">
              <w:rPr>
                <w:rFonts w:cs="Arial"/>
                <w:sz w:val="22"/>
                <w:szCs w:val="22"/>
              </w:rPr>
              <w:t xml:space="preserve">0 </w:t>
            </w:r>
            <w:r w:rsidRPr="00E17958">
              <w:rPr>
                <w:rFonts w:cs="Arial"/>
                <w:sz w:val="22"/>
                <w:szCs w:val="22"/>
              </w:rPr>
              <w:t>ab Volljährigkeit des Kindes</w:t>
            </w:r>
          </w:p>
        </w:tc>
      </w:tr>
      <w:tr w:rsidR="00E17958" w:rsidRPr="00E17958" w:rsidTr="0058279B">
        <w:tc>
          <w:tcPr>
            <w:tcW w:w="2552" w:type="dxa"/>
            <w:vMerge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Vormundschaftsgerichtliche Prozesse / Prozessakten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30</w:t>
            </w:r>
          </w:p>
        </w:tc>
      </w:tr>
    </w:tbl>
    <w:p w:rsidR="00817F84" w:rsidRPr="0058279B" w:rsidRDefault="00817F84" w:rsidP="0058279B">
      <w:pPr>
        <w:rPr>
          <w:sz w:val="22"/>
          <w:szCs w:val="22"/>
        </w:rPr>
      </w:pPr>
      <w:r w:rsidRPr="0058279B">
        <w:rPr>
          <w:sz w:val="22"/>
          <w:szCs w:val="22"/>
        </w:rPr>
        <w:br w:type="page"/>
      </w: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3148"/>
      </w:tblGrid>
      <w:tr w:rsidR="007F3C8A" w:rsidRPr="0058279B" w:rsidTr="0058279B">
        <w:trPr>
          <w:trHeight w:val="284"/>
        </w:trPr>
        <w:tc>
          <w:tcPr>
            <w:tcW w:w="2552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lastRenderedPageBreak/>
              <w:t>Sachgebiet / Bereich</w:t>
            </w:r>
          </w:p>
        </w:tc>
        <w:tc>
          <w:tcPr>
            <w:tcW w:w="3969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Gegenstand</w:t>
            </w:r>
          </w:p>
        </w:tc>
        <w:tc>
          <w:tcPr>
            <w:tcW w:w="3148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Aufbewahrungsfrist</w:t>
            </w:r>
          </w:p>
        </w:tc>
      </w:tr>
      <w:tr w:rsidR="00E17958" w:rsidRPr="00E17958" w:rsidTr="0058279B">
        <w:trPr>
          <w:trHeight w:val="284"/>
        </w:trPr>
        <w:tc>
          <w:tcPr>
            <w:tcW w:w="2552" w:type="dxa"/>
            <w:vMerge w:val="restart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51.30 </w:t>
            </w:r>
          </w:p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Beistandschaft</w:t>
            </w:r>
          </w:p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Abfindungsverträge</w:t>
            </w:r>
          </w:p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in Unterhalts- und Erbansprüchen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30/Dauerhaft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Amtshilfeakten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2 (10 bei Amtshilfe für auslä</w:t>
            </w:r>
            <w:r w:rsidRPr="0058279B">
              <w:rPr>
                <w:rFonts w:cs="Arial"/>
                <w:sz w:val="22"/>
                <w:szCs w:val="22"/>
              </w:rPr>
              <w:t>n</w:t>
            </w:r>
            <w:r w:rsidRPr="0058279B">
              <w:rPr>
                <w:rFonts w:cs="Arial"/>
                <w:sz w:val="22"/>
                <w:szCs w:val="22"/>
              </w:rPr>
              <w:t>dische Jugendämter)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Beistandschaften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10/20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Beurkundungsentwürfe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Beurkundungsverzeichnisse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30/Dauerhaft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Geldbestandslisten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3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Gerichtliche Vergleiche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10/20/Dauerhaft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Jahresabschlüsse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10/30/Dauerhaft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Jahreskontoauszüge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Nichteheliche Kinder, die keine </w:t>
            </w:r>
          </w:p>
          <w:p w:rsidR="00F21385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Beischreibung der Vaterschaft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erhalten</w:t>
            </w:r>
          </w:p>
        </w:tc>
        <w:tc>
          <w:tcPr>
            <w:tcW w:w="3148" w:type="dxa"/>
          </w:tcPr>
          <w:p w:rsidR="0058279B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Bis zur Vollendung des 70. </w:t>
            </w:r>
            <w:r w:rsidR="0058279B" w:rsidRPr="0058279B">
              <w:rPr>
                <w:rFonts w:cs="Arial"/>
                <w:sz w:val="22"/>
                <w:szCs w:val="22"/>
              </w:rPr>
              <w:t>Lj.</w:t>
            </w:r>
          </w:p>
          <w:p w:rsidR="0058279B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des Kindes / nach eigener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Risikoabschätzung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Prozessakten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10/30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Unterhaltspflegschaften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Urkunden und Urkundsregister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30/Dauerhaft</w:t>
            </w:r>
          </w:p>
        </w:tc>
      </w:tr>
    </w:tbl>
    <w:p w:rsidR="007F3C8A" w:rsidRPr="0058279B" w:rsidRDefault="007F3C8A" w:rsidP="0058279B">
      <w:pPr>
        <w:rPr>
          <w:sz w:val="22"/>
          <w:szCs w:val="22"/>
        </w:rPr>
      </w:pPr>
    </w:p>
    <w:p w:rsidR="0058279B" w:rsidRPr="0058279B" w:rsidRDefault="0058279B" w:rsidP="0058279B">
      <w:pPr>
        <w:rPr>
          <w:sz w:val="22"/>
          <w:szCs w:val="22"/>
        </w:rPr>
      </w:pPr>
    </w:p>
    <w:p w:rsidR="007F3C8A" w:rsidRPr="0058279B" w:rsidRDefault="007F3C8A" w:rsidP="0058279B">
      <w:pPr>
        <w:rPr>
          <w:sz w:val="22"/>
          <w:szCs w:val="22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3148"/>
      </w:tblGrid>
      <w:tr w:rsidR="007F3C8A" w:rsidRPr="0058279B" w:rsidTr="0058279B">
        <w:trPr>
          <w:trHeight w:val="284"/>
        </w:trPr>
        <w:tc>
          <w:tcPr>
            <w:tcW w:w="2552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Sachgebiet / Bereich</w:t>
            </w:r>
          </w:p>
        </w:tc>
        <w:tc>
          <w:tcPr>
            <w:tcW w:w="3969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Gegenstand</w:t>
            </w:r>
          </w:p>
        </w:tc>
        <w:tc>
          <w:tcPr>
            <w:tcW w:w="3148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Aufbewahrungsfrist</w:t>
            </w:r>
          </w:p>
        </w:tc>
      </w:tr>
      <w:tr w:rsidR="00E17958" w:rsidRPr="00E17958" w:rsidTr="0058279B">
        <w:trPr>
          <w:trHeight w:val="284"/>
        </w:trPr>
        <w:tc>
          <w:tcPr>
            <w:tcW w:w="2552" w:type="dxa"/>
            <w:vMerge w:val="restart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51.31 </w:t>
            </w:r>
          </w:p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Unterhaltsvorschuss</w:t>
            </w: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abgelehnte Bescheide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4</w:t>
            </w:r>
          </w:p>
        </w:tc>
      </w:tr>
      <w:tr w:rsidR="007F3C8A" w:rsidRPr="0058279B" w:rsidTr="0058279B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bewilligte Bescheide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6</w:t>
            </w:r>
          </w:p>
        </w:tc>
      </w:tr>
    </w:tbl>
    <w:p w:rsidR="007F3C8A" w:rsidRPr="0058279B" w:rsidRDefault="007F3C8A" w:rsidP="0058279B">
      <w:pPr>
        <w:rPr>
          <w:sz w:val="22"/>
          <w:szCs w:val="22"/>
        </w:rPr>
      </w:pPr>
    </w:p>
    <w:p w:rsidR="007F3C8A" w:rsidRPr="0058279B" w:rsidRDefault="007F3C8A" w:rsidP="0058279B">
      <w:pPr>
        <w:rPr>
          <w:sz w:val="22"/>
          <w:szCs w:val="22"/>
        </w:rPr>
      </w:pPr>
    </w:p>
    <w:p w:rsidR="0058279B" w:rsidRPr="0058279B" w:rsidRDefault="0058279B" w:rsidP="0058279B">
      <w:pPr>
        <w:rPr>
          <w:sz w:val="22"/>
          <w:szCs w:val="22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3148"/>
      </w:tblGrid>
      <w:tr w:rsidR="007F3C8A" w:rsidRPr="0058279B" w:rsidTr="0058279B">
        <w:tc>
          <w:tcPr>
            <w:tcW w:w="2552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Sachgebiet / Bereich</w:t>
            </w:r>
          </w:p>
        </w:tc>
        <w:tc>
          <w:tcPr>
            <w:tcW w:w="3969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Gegenstand</w:t>
            </w:r>
          </w:p>
        </w:tc>
        <w:tc>
          <w:tcPr>
            <w:tcW w:w="3148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Aufbewahrungsfrist</w:t>
            </w:r>
          </w:p>
        </w:tc>
      </w:tr>
      <w:tr w:rsidR="00E17958" w:rsidRPr="00E17958" w:rsidTr="0058279B">
        <w:tc>
          <w:tcPr>
            <w:tcW w:w="2552" w:type="dxa"/>
            <w:vMerge w:val="restart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51.31</w:t>
            </w:r>
          </w:p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Ausbildungsförderung</w:t>
            </w: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Einzelakten mit Antragsablehnung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4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F21385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Einzelakten mit Zuschüssen und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Darlehen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6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Ersatzansprüche auswärtiger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Sozialhilfeträger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5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Zahlungslisten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</w:t>
            </w:r>
          </w:p>
        </w:tc>
      </w:tr>
    </w:tbl>
    <w:p w:rsidR="007F3C8A" w:rsidRPr="0058279B" w:rsidRDefault="007F3C8A" w:rsidP="0058279B">
      <w:pPr>
        <w:rPr>
          <w:rFonts w:cs="Arial"/>
          <w:sz w:val="22"/>
          <w:szCs w:val="22"/>
        </w:rPr>
      </w:pPr>
    </w:p>
    <w:p w:rsidR="0058279B" w:rsidRPr="0058279B" w:rsidRDefault="0058279B" w:rsidP="0058279B">
      <w:pPr>
        <w:rPr>
          <w:rFonts w:cs="Arial"/>
          <w:sz w:val="22"/>
          <w:szCs w:val="22"/>
        </w:rPr>
      </w:pPr>
    </w:p>
    <w:p w:rsidR="0058279B" w:rsidRPr="0058279B" w:rsidRDefault="0058279B">
      <w:pPr>
        <w:rPr>
          <w:rFonts w:cs="Arial"/>
          <w:sz w:val="22"/>
          <w:szCs w:val="22"/>
        </w:rPr>
      </w:pPr>
      <w:r w:rsidRPr="0058279B">
        <w:rPr>
          <w:rFonts w:cs="Arial"/>
          <w:sz w:val="22"/>
          <w:szCs w:val="22"/>
        </w:rPr>
        <w:br w:type="page"/>
      </w: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3148"/>
      </w:tblGrid>
      <w:tr w:rsidR="007F3C8A" w:rsidRPr="0058279B" w:rsidTr="0058279B">
        <w:tc>
          <w:tcPr>
            <w:tcW w:w="2552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lastRenderedPageBreak/>
              <w:t>Sachgebiet / Bereich</w:t>
            </w:r>
          </w:p>
        </w:tc>
        <w:tc>
          <w:tcPr>
            <w:tcW w:w="3969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Gegenstand</w:t>
            </w:r>
          </w:p>
        </w:tc>
        <w:tc>
          <w:tcPr>
            <w:tcW w:w="3148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Aufbewahrungsfrist</w:t>
            </w:r>
          </w:p>
        </w:tc>
      </w:tr>
      <w:tr w:rsidR="007F3C8A" w:rsidRPr="0058279B" w:rsidTr="0058279B">
        <w:tc>
          <w:tcPr>
            <w:tcW w:w="2552" w:type="dxa"/>
            <w:vMerge w:val="restart"/>
            <w:shd w:val="clear" w:color="auto" w:fill="auto"/>
          </w:tcPr>
          <w:p w:rsidR="00E34620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51.32</w:t>
            </w:r>
          </w:p>
          <w:p w:rsidR="00E34620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Wirtschaftliche </w:t>
            </w:r>
          </w:p>
          <w:p w:rsidR="00E34620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Jugendhilfe,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Delegationsleistungen, Rechnungswesen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Buchungslisten (auch EDV)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6</w:t>
            </w:r>
          </w:p>
        </w:tc>
      </w:tr>
      <w:tr w:rsidR="007F3C8A" w:rsidRPr="0058279B" w:rsidTr="0058279B">
        <w:tc>
          <w:tcPr>
            <w:tcW w:w="2552" w:type="dxa"/>
            <w:vMerge/>
            <w:shd w:val="clear" w:color="auto" w:fill="auto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F21385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Originale/Durchschläge von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Rechnungen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</w:t>
            </w:r>
          </w:p>
        </w:tc>
      </w:tr>
      <w:tr w:rsidR="007F3C8A" w:rsidRPr="0058279B" w:rsidTr="0058279B">
        <w:tc>
          <w:tcPr>
            <w:tcW w:w="2552" w:type="dxa"/>
            <w:vMerge/>
            <w:shd w:val="clear" w:color="auto" w:fill="auto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Einzelakten Hilfen zur Erziehung / </w:t>
            </w:r>
            <w:r w:rsidR="0058279B" w:rsidRPr="0058279B">
              <w:rPr>
                <w:rFonts w:cs="Arial"/>
                <w:sz w:val="22"/>
                <w:szCs w:val="22"/>
              </w:rPr>
              <w:t>WiJu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</w:t>
            </w:r>
          </w:p>
        </w:tc>
      </w:tr>
      <w:tr w:rsidR="007F3C8A" w:rsidRPr="0058279B" w:rsidTr="0058279B">
        <w:tc>
          <w:tcPr>
            <w:tcW w:w="2552" w:type="dxa"/>
            <w:vMerge/>
            <w:shd w:val="clear" w:color="auto" w:fill="auto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Elternbeiträge KITA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6</w:t>
            </w:r>
          </w:p>
        </w:tc>
      </w:tr>
      <w:tr w:rsidR="007F3C8A" w:rsidRPr="0058279B" w:rsidTr="0058279B">
        <w:tc>
          <w:tcPr>
            <w:tcW w:w="2552" w:type="dxa"/>
            <w:vMerge/>
            <w:shd w:val="clear" w:color="auto" w:fill="auto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Gutschriften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6</w:t>
            </w:r>
          </w:p>
        </w:tc>
      </w:tr>
      <w:tr w:rsidR="007F3C8A" w:rsidRPr="0058279B" w:rsidTr="0058279B">
        <w:tc>
          <w:tcPr>
            <w:tcW w:w="2552" w:type="dxa"/>
            <w:vMerge/>
            <w:shd w:val="clear" w:color="auto" w:fill="auto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Jahresabschlüsse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10/30/Dauerhaft</w:t>
            </w:r>
          </w:p>
        </w:tc>
      </w:tr>
      <w:tr w:rsidR="007F3C8A" w:rsidRPr="0058279B" w:rsidTr="0058279B">
        <w:tc>
          <w:tcPr>
            <w:tcW w:w="2552" w:type="dxa"/>
            <w:vMerge/>
            <w:shd w:val="clear" w:color="auto" w:fill="auto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Jahreskontoauszüge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</w:t>
            </w:r>
          </w:p>
        </w:tc>
      </w:tr>
      <w:tr w:rsidR="007F3C8A" w:rsidRPr="0058279B" w:rsidTr="0058279B">
        <w:tc>
          <w:tcPr>
            <w:tcW w:w="2552" w:type="dxa"/>
            <w:vMerge/>
            <w:shd w:val="clear" w:color="auto" w:fill="auto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KITA-Unterlagen bezügl. Eltern / Kinder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2 Jahre nach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Ausscheiden der Kinder</w:t>
            </w:r>
          </w:p>
        </w:tc>
      </w:tr>
      <w:tr w:rsidR="007F3C8A" w:rsidRPr="0058279B" w:rsidTr="0058279B">
        <w:tc>
          <w:tcPr>
            <w:tcW w:w="2552" w:type="dxa"/>
            <w:vMerge/>
            <w:shd w:val="clear" w:color="auto" w:fill="auto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Niederschlagungslisten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6</w:t>
            </w:r>
          </w:p>
        </w:tc>
      </w:tr>
      <w:tr w:rsidR="007F3C8A" w:rsidRPr="0058279B" w:rsidTr="0058279B">
        <w:tc>
          <w:tcPr>
            <w:tcW w:w="2552" w:type="dxa"/>
            <w:vMerge/>
            <w:shd w:val="clear" w:color="auto" w:fill="auto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Pflegekostenabrechnungen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5</w:t>
            </w:r>
          </w:p>
        </w:tc>
      </w:tr>
      <w:tr w:rsidR="007F3C8A" w:rsidRPr="0058279B" w:rsidTr="0058279B">
        <w:tc>
          <w:tcPr>
            <w:tcW w:w="2552" w:type="dxa"/>
            <w:vMerge/>
            <w:shd w:val="clear" w:color="auto" w:fill="auto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Pflegesätze / Entgelte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5/30/Dauerhaft</w:t>
            </w:r>
          </w:p>
        </w:tc>
      </w:tr>
      <w:tr w:rsidR="007F3C8A" w:rsidRPr="0058279B" w:rsidTr="0058279B">
        <w:tc>
          <w:tcPr>
            <w:tcW w:w="2552" w:type="dxa"/>
            <w:vMerge/>
            <w:shd w:val="clear" w:color="auto" w:fill="auto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Saldenlisten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</w:t>
            </w:r>
          </w:p>
        </w:tc>
      </w:tr>
    </w:tbl>
    <w:p w:rsidR="007F3C8A" w:rsidRPr="0058279B" w:rsidRDefault="007F3C8A" w:rsidP="0058279B">
      <w:pPr>
        <w:rPr>
          <w:rFonts w:cs="Arial"/>
          <w:sz w:val="22"/>
          <w:szCs w:val="22"/>
        </w:rPr>
      </w:pPr>
    </w:p>
    <w:p w:rsidR="0058279B" w:rsidRPr="0058279B" w:rsidRDefault="0058279B" w:rsidP="0058279B">
      <w:pPr>
        <w:rPr>
          <w:rFonts w:cs="Arial"/>
          <w:sz w:val="22"/>
          <w:szCs w:val="22"/>
        </w:rPr>
      </w:pPr>
    </w:p>
    <w:p w:rsidR="007F3C8A" w:rsidRPr="0058279B" w:rsidRDefault="007F3C8A" w:rsidP="0058279B">
      <w:pPr>
        <w:rPr>
          <w:sz w:val="22"/>
          <w:szCs w:val="22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3148"/>
      </w:tblGrid>
      <w:tr w:rsidR="007F3C8A" w:rsidRPr="0058279B" w:rsidTr="0058279B">
        <w:tc>
          <w:tcPr>
            <w:tcW w:w="2552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Sachgebiet / Bereich</w:t>
            </w:r>
          </w:p>
        </w:tc>
        <w:tc>
          <w:tcPr>
            <w:tcW w:w="3969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Gegenstand</w:t>
            </w:r>
          </w:p>
        </w:tc>
        <w:tc>
          <w:tcPr>
            <w:tcW w:w="3148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Aufbewahrungsfrist</w:t>
            </w:r>
          </w:p>
        </w:tc>
      </w:tr>
      <w:tr w:rsidR="00E17958" w:rsidRPr="00E17958" w:rsidTr="0058279B">
        <w:tc>
          <w:tcPr>
            <w:tcW w:w="2552" w:type="dxa"/>
            <w:vMerge w:val="restart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51.35 </w:t>
            </w:r>
          </w:p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Amtsvormundschaft</w:t>
            </w: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Abfindungsverträge</w:t>
            </w:r>
          </w:p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in Unterhalts- und Erbansprüchen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30/Dauerhaft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Amtshilfeakten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2 (10 bei Amtshilfe für auslä</w:t>
            </w:r>
            <w:r w:rsidRPr="0058279B">
              <w:rPr>
                <w:rFonts w:cs="Arial"/>
                <w:sz w:val="22"/>
                <w:szCs w:val="22"/>
              </w:rPr>
              <w:t>n</w:t>
            </w:r>
            <w:r w:rsidRPr="0058279B">
              <w:rPr>
                <w:rFonts w:cs="Arial"/>
                <w:sz w:val="22"/>
                <w:szCs w:val="22"/>
              </w:rPr>
              <w:t>dische Jugendämter)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58279B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Beratung/Unterstützung von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Pflegern und Vormündern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5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Geldbestandslisten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3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Gerichtliche Vergleiche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10/20/Dauerhaft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Jahresabschlüsse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10/30/Dauerhaft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Jahreskontoauszüge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Mündelgeldabrechnungen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Nichteheliche Kinder, die keine </w:t>
            </w:r>
          </w:p>
          <w:p w:rsidR="00F21385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Beischreibung der Vaterschaft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erhalten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Bis zur Vollendung des 70. Lebensjahres des Kindes / nach eigener Risikoabschä</w:t>
            </w:r>
            <w:r w:rsidRPr="0058279B">
              <w:rPr>
                <w:rFonts w:cs="Arial"/>
                <w:sz w:val="22"/>
                <w:szCs w:val="22"/>
              </w:rPr>
              <w:t>t</w:t>
            </w:r>
            <w:r w:rsidRPr="0058279B">
              <w:rPr>
                <w:rFonts w:cs="Arial"/>
                <w:sz w:val="22"/>
                <w:szCs w:val="22"/>
              </w:rPr>
              <w:t>zung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Pflegschaften allgemein /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mit Vermögensverwaltung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10/20</w:t>
            </w:r>
          </w:p>
        </w:tc>
      </w:tr>
      <w:tr w:rsidR="007F3C8A" w:rsidRPr="0058279B" w:rsidTr="0058279B"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Prozessakten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10/30</w:t>
            </w:r>
          </w:p>
        </w:tc>
      </w:tr>
    </w:tbl>
    <w:p w:rsidR="007F3C8A" w:rsidRPr="0058279B" w:rsidRDefault="007F3C8A" w:rsidP="0058279B">
      <w:pPr>
        <w:rPr>
          <w:sz w:val="22"/>
          <w:szCs w:val="22"/>
        </w:rPr>
      </w:pPr>
    </w:p>
    <w:p w:rsidR="007F3C8A" w:rsidRPr="0058279B" w:rsidRDefault="007F3C8A" w:rsidP="0058279B">
      <w:pPr>
        <w:rPr>
          <w:rFonts w:cs="Arial"/>
          <w:sz w:val="22"/>
          <w:szCs w:val="22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3148"/>
      </w:tblGrid>
      <w:tr w:rsidR="007F3C8A" w:rsidRPr="0058279B" w:rsidTr="00EA57D9">
        <w:trPr>
          <w:trHeight w:val="284"/>
        </w:trPr>
        <w:tc>
          <w:tcPr>
            <w:tcW w:w="2552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lastRenderedPageBreak/>
              <w:t>Sachgebiet / Bereich</w:t>
            </w:r>
          </w:p>
        </w:tc>
        <w:tc>
          <w:tcPr>
            <w:tcW w:w="3969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Gegenstand</w:t>
            </w:r>
          </w:p>
        </w:tc>
        <w:tc>
          <w:tcPr>
            <w:tcW w:w="3148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Aufbewahrungsfrist</w:t>
            </w:r>
          </w:p>
        </w:tc>
      </w:tr>
      <w:tr w:rsidR="007F3C8A" w:rsidRPr="0058279B" w:rsidTr="00EA57D9">
        <w:trPr>
          <w:trHeight w:val="284"/>
        </w:trPr>
        <w:tc>
          <w:tcPr>
            <w:tcW w:w="2552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51.4 Tagesbetreuung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für Kinder</w:t>
            </w: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Tagespflege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Hilfe- und Beratungsunterlagen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1/10</w:t>
            </w:r>
          </w:p>
        </w:tc>
      </w:tr>
    </w:tbl>
    <w:p w:rsidR="007F3C8A" w:rsidRPr="0058279B" w:rsidRDefault="007F3C8A" w:rsidP="0058279B">
      <w:pPr>
        <w:rPr>
          <w:rFonts w:cs="Arial"/>
          <w:sz w:val="22"/>
          <w:szCs w:val="22"/>
        </w:rPr>
      </w:pPr>
    </w:p>
    <w:p w:rsidR="007F3C8A" w:rsidRPr="0058279B" w:rsidRDefault="007F3C8A" w:rsidP="0058279B">
      <w:pPr>
        <w:rPr>
          <w:rFonts w:cs="Arial"/>
          <w:sz w:val="22"/>
          <w:szCs w:val="22"/>
        </w:rPr>
      </w:pPr>
    </w:p>
    <w:p w:rsidR="0058279B" w:rsidRPr="0058279B" w:rsidRDefault="0058279B" w:rsidP="0058279B">
      <w:pPr>
        <w:rPr>
          <w:rFonts w:cs="Arial"/>
          <w:sz w:val="22"/>
          <w:szCs w:val="22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3148"/>
      </w:tblGrid>
      <w:tr w:rsidR="007F3C8A" w:rsidRPr="0058279B" w:rsidTr="00EA57D9">
        <w:trPr>
          <w:trHeight w:val="284"/>
        </w:trPr>
        <w:tc>
          <w:tcPr>
            <w:tcW w:w="2552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Sachgebiet / Bereich</w:t>
            </w:r>
          </w:p>
        </w:tc>
        <w:tc>
          <w:tcPr>
            <w:tcW w:w="3969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Gegenstand</w:t>
            </w:r>
          </w:p>
        </w:tc>
        <w:tc>
          <w:tcPr>
            <w:tcW w:w="3148" w:type="dxa"/>
            <w:shd w:val="clear" w:color="auto" w:fill="FFFF99"/>
          </w:tcPr>
          <w:p w:rsidR="007F3C8A" w:rsidRPr="0058279B" w:rsidRDefault="007F3C8A" w:rsidP="0058279B">
            <w:pPr>
              <w:jc w:val="left"/>
              <w:rPr>
                <w:rFonts w:ascii="AauxPro OT Black" w:hAnsi="AauxPro OT Black" w:cs="Arial"/>
                <w:sz w:val="22"/>
                <w:szCs w:val="22"/>
              </w:rPr>
            </w:pPr>
            <w:r w:rsidRPr="0058279B">
              <w:rPr>
                <w:rFonts w:ascii="AauxPro OT Black" w:hAnsi="AauxPro OT Black" w:cs="Arial"/>
                <w:sz w:val="22"/>
                <w:szCs w:val="22"/>
              </w:rPr>
              <w:t>Aufbewahrungsfrist</w:t>
            </w:r>
          </w:p>
        </w:tc>
      </w:tr>
      <w:tr w:rsidR="00E17958" w:rsidRPr="00E17958" w:rsidTr="00EA57D9">
        <w:trPr>
          <w:trHeight w:val="284"/>
        </w:trPr>
        <w:tc>
          <w:tcPr>
            <w:tcW w:w="2552" w:type="dxa"/>
            <w:vMerge w:val="restart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51.5 </w:t>
            </w:r>
          </w:p>
          <w:p w:rsidR="00E34620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Planung, </w:t>
            </w:r>
          </w:p>
          <w:p w:rsidR="00E34620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Schulentwicklung, </w:t>
            </w:r>
          </w:p>
          <w:p w:rsidR="00F21385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 xml:space="preserve">Jugendhilfe, </w:t>
            </w:r>
          </w:p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Berichtswesen</w:t>
            </w:r>
          </w:p>
        </w:tc>
        <w:tc>
          <w:tcPr>
            <w:tcW w:w="3969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Eigene Geschäftsberichte</w:t>
            </w:r>
          </w:p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(mind. 1 Exemplar)</w:t>
            </w:r>
          </w:p>
        </w:tc>
        <w:tc>
          <w:tcPr>
            <w:tcW w:w="3148" w:type="dxa"/>
          </w:tcPr>
          <w:p w:rsidR="007F3C8A" w:rsidRPr="00E17958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E17958">
              <w:rPr>
                <w:rFonts w:cs="Arial"/>
                <w:sz w:val="22"/>
                <w:szCs w:val="22"/>
              </w:rPr>
              <w:t>10/20/Dauerhaft</w:t>
            </w:r>
          </w:p>
        </w:tc>
      </w:tr>
      <w:tr w:rsidR="007F3C8A" w:rsidRPr="0058279B" w:rsidTr="00EA57D9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Finanzstatistik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3/30/Dauerhaft</w:t>
            </w:r>
          </w:p>
        </w:tc>
      </w:tr>
      <w:tr w:rsidR="007F3C8A" w:rsidRPr="0058279B" w:rsidTr="00EA57D9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Jahresberichte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30/Dauerhaft</w:t>
            </w:r>
          </w:p>
        </w:tc>
      </w:tr>
      <w:tr w:rsidR="007F3C8A" w:rsidRPr="0058279B" w:rsidTr="00EA57D9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Statistische Erhebungen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30/Dauerhaft</w:t>
            </w:r>
          </w:p>
        </w:tc>
      </w:tr>
      <w:tr w:rsidR="007F3C8A" w:rsidRPr="0058279B" w:rsidTr="00EA57D9">
        <w:trPr>
          <w:trHeight w:val="284"/>
        </w:trPr>
        <w:tc>
          <w:tcPr>
            <w:tcW w:w="2552" w:type="dxa"/>
            <w:vMerge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 xml:space="preserve">Unterlagen für den </w:t>
            </w:r>
          </w:p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Jugendhilfeausschuss</w:t>
            </w:r>
          </w:p>
        </w:tc>
        <w:tc>
          <w:tcPr>
            <w:tcW w:w="3148" w:type="dxa"/>
          </w:tcPr>
          <w:p w:rsidR="007F3C8A" w:rsidRPr="0058279B" w:rsidRDefault="007F3C8A" w:rsidP="0058279B">
            <w:pPr>
              <w:jc w:val="left"/>
              <w:rPr>
                <w:rFonts w:cs="Arial"/>
                <w:sz w:val="22"/>
                <w:szCs w:val="22"/>
              </w:rPr>
            </w:pPr>
            <w:r w:rsidRPr="0058279B">
              <w:rPr>
                <w:rFonts w:cs="Arial"/>
                <w:sz w:val="22"/>
                <w:szCs w:val="22"/>
              </w:rPr>
              <w:t>30/Dauerhaft</w:t>
            </w:r>
          </w:p>
        </w:tc>
      </w:tr>
    </w:tbl>
    <w:p w:rsidR="000A2F16" w:rsidRPr="0058279B" w:rsidRDefault="000A2F16" w:rsidP="0058279B">
      <w:pPr>
        <w:jc w:val="both"/>
      </w:pPr>
    </w:p>
    <w:sectPr w:rsidR="000A2F16" w:rsidRPr="0058279B" w:rsidSect="0044191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04" w:right="720" w:bottom="720" w:left="1304" w:header="567" w:footer="43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9B" w:rsidRDefault="0058279B">
      <w:r>
        <w:separator/>
      </w:r>
    </w:p>
  </w:endnote>
  <w:endnote w:type="continuationSeparator" w:id="0">
    <w:p w:rsidR="0058279B" w:rsidRDefault="0058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Pro OT Regular">
    <w:panose1 w:val="02000506030000020004"/>
    <w:charset w:val="00"/>
    <w:family w:val="modern"/>
    <w:notTrueType/>
    <w:pitch w:val="variable"/>
    <w:sig w:usb0="00000003" w:usb1="00000000" w:usb2="00000000" w:usb3="00000000" w:csb0="00000001" w:csb1="00000000"/>
  </w:font>
  <w:font w:name="AauxPro OT 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9B" w:rsidRDefault="0058279B">
    <w:pPr>
      <w:pStyle w:val="Fuzeile"/>
      <w:jc w:val="right"/>
    </w:pPr>
  </w:p>
  <w:p w:rsidR="0058279B" w:rsidRDefault="0058279B">
    <w:pPr>
      <w:pStyle w:val="Fuzeile"/>
      <w:jc w:val="right"/>
    </w:pPr>
  </w:p>
  <w:p w:rsidR="0058279B" w:rsidRDefault="0058279B">
    <w:pPr>
      <w:pStyle w:val="Fuzeile"/>
      <w:jc w:val="right"/>
    </w:pPr>
    <w:r>
      <w:t xml:space="preserve">Seite </w:t>
    </w:r>
    <w:sdt>
      <w:sdtPr>
        <w:id w:val="4172215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4704A">
          <w:rPr>
            <w:noProof/>
          </w:rPr>
          <w:t>7</w:t>
        </w:r>
        <w:r>
          <w:fldChar w:fldCharType="end"/>
        </w:r>
      </w:sdtContent>
    </w:sdt>
  </w:p>
  <w:p w:rsidR="0058279B" w:rsidRDefault="0058279B">
    <w:pPr>
      <w:tabs>
        <w:tab w:val="left" w:pos="2835"/>
        <w:tab w:val="left" w:pos="4253"/>
        <w:tab w:val="left" w:pos="7258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9B" w:rsidRDefault="0058279B" w:rsidP="00817F84">
    <w:pPr>
      <w:pStyle w:val="Fuzeile"/>
      <w:jc w:val="right"/>
    </w:pPr>
  </w:p>
  <w:p w:rsidR="0058279B" w:rsidRDefault="0058279B" w:rsidP="00817F84">
    <w:pPr>
      <w:pStyle w:val="Fuzeile"/>
      <w:jc w:val="right"/>
    </w:pPr>
    <w:r>
      <w:t xml:space="preserve">Seite </w:t>
    </w:r>
    <w:sdt>
      <w:sdtPr>
        <w:id w:val="-20341100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4704A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9B" w:rsidRDefault="0058279B">
      <w:r>
        <w:separator/>
      </w:r>
    </w:p>
  </w:footnote>
  <w:footnote w:type="continuationSeparator" w:id="0">
    <w:p w:rsidR="0058279B" w:rsidRDefault="00582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9B" w:rsidRDefault="0058279B">
    <w:pPr>
      <w:pStyle w:val="Kopfzeile"/>
      <w:tabs>
        <w:tab w:val="right" w:pos="99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9B" w:rsidRDefault="0058279B" w:rsidP="00163C82">
    <w:pPr>
      <w:pStyle w:val="Kopfzeile"/>
      <w:tabs>
        <w:tab w:val="clear" w:pos="9071"/>
      </w:tabs>
      <w:ind w:left="-136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179924" wp14:editId="535AED8B">
          <wp:simplePos x="0" y="0"/>
          <wp:positionH relativeFrom="column">
            <wp:posOffset>4485318</wp:posOffset>
          </wp:positionH>
          <wp:positionV relativeFrom="paragraph">
            <wp:posOffset>-102870</wp:posOffset>
          </wp:positionV>
          <wp:extent cx="1834515" cy="45720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279B" w:rsidRDefault="0058279B" w:rsidP="00163C82">
    <w:pPr>
      <w:pStyle w:val="Kopfzeile"/>
      <w:tabs>
        <w:tab w:val="clear" w:pos="9071"/>
      </w:tabs>
      <w:ind w:left="-1361"/>
    </w:pPr>
  </w:p>
  <w:p w:rsidR="0058279B" w:rsidRPr="00163C82" w:rsidRDefault="0058279B" w:rsidP="00163C82">
    <w:pPr>
      <w:pStyle w:val="Kopfzeile"/>
      <w:tabs>
        <w:tab w:val="clear" w:pos="9071"/>
      </w:tabs>
      <w:ind w:left="-1361"/>
      <w:rPr>
        <w:sz w:val="2"/>
        <w:szCs w:val="2"/>
      </w:rPr>
    </w:pPr>
    <w:r>
      <w:object w:dxaOrig="21579" w:dyaOrig="3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3.2pt;height:74.2pt" o:ole="">
          <v:imagedata r:id="rId2" o:title=""/>
        </v:shape>
        <o:OLEObject Type="Embed" ProgID="Unknown" ShapeID="_x0000_i1025" DrawAspect="Content" ObjectID="_1598263847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17EB"/>
    <w:multiLevelType w:val="hybridMultilevel"/>
    <w:tmpl w:val="7D3A81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BC1745"/>
    <w:multiLevelType w:val="hybridMultilevel"/>
    <w:tmpl w:val="D200E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82"/>
    <w:rsid w:val="00020903"/>
    <w:rsid w:val="00060233"/>
    <w:rsid w:val="00081972"/>
    <w:rsid w:val="000A2F16"/>
    <w:rsid w:val="000D0587"/>
    <w:rsid w:val="00163C82"/>
    <w:rsid w:val="001A4E2A"/>
    <w:rsid w:val="001D3552"/>
    <w:rsid w:val="001E0492"/>
    <w:rsid w:val="002A3917"/>
    <w:rsid w:val="00417CAB"/>
    <w:rsid w:val="00441915"/>
    <w:rsid w:val="00454E9F"/>
    <w:rsid w:val="004D19A2"/>
    <w:rsid w:val="00503CE2"/>
    <w:rsid w:val="00512AB0"/>
    <w:rsid w:val="0058238F"/>
    <w:rsid w:val="0058279B"/>
    <w:rsid w:val="00595A5A"/>
    <w:rsid w:val="005A5019"/>
    <w:rsid w:val="006327A0"/>
    <w:rsid w:val="00665428"/>
    <w:rsid w:val="007006E3"/>
    <w:rsid w:val="00725BB7"/>
    <w:rsid w:val="00756964"/>
    <w:rsid w:val="007C2FE6"/>
    <w:rsid w:val="007F1C02"/>
    <w:rsid w:val="007F3C8A"/>
    <w:rsid w:val="00810885"/>
    <w:rsid w:val="00817F84"/>
    <w:rsid w:val="008577D7"/>
    <w:rsid w:val="00861A18"/>
    <w:rsid w:val="00892C1E"/>
    <w:rsid w:val="008C1C71"/>
    <w:rsid w:val="008C2588"/>
    <w:rsid w:val="00A12C74"/>
    <w:rsid w:val="00A1495A"/>
    <w:rsid w:val="00AD7732"/>
    <w:rsid w:val="00B2094F"/>
    <w:rsid w:val="00BE10C6"/>
    <w:rsid w:val="00C33EF7"/>
    <w:rsid w:val="00C518D3"/>
    <w:rsid w:val="00C708D8"/>
    <w:rsid w:val="00C93718"/>
    <w:rsid w:val="00CF08F4"/>
    <w:rsid w:val="00CF3163"/>
    <w:rsid w:val="00D217C4"/>
    <w:rsid w:val="00D646A7"/>
    <w:rsid w:val="00D70958"/>
    <w:rsid w:val="00D9395F"/>
    <w:rsid w:val="00DD0C96"/>
    <w:rsid w:val="00DD580C"/>
    <w:rsid w:val="00E161B1"/>
    <w:rsid w:val="00E17958"/>
    <w:rsid w:val="00E27F74"/>
    <w:rsid w:val="00E33A84"/>
    <w:rsid w:val="00E34620"/>
    <w:rsid w:val="00E4704A"/>
    <w:rsid w:val="00E527CB"/>
    <w:rsid w:val="00E7523E"/>
    <w:rsid w:val="00EA57D9"/>
    <w:rsid w:val="00F21385"/>
    <w:rsid w:val="00FA2E7C"/>
    <w:rsid w:val="00F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17F84"/>
    <w:rPr>
      <w:rFonts w:ascii="AauxPro OT Regular" w:hAnsi="AauxPro OT Regular"/>
      <w:sz w:val="24"/>
    </w:rPr>
  </w:style>
  <w:style w:type="paragraph" w:styleId="berschrift1">
    <w:name w:val="heading 1"/>
    <w:basedOn w:val="Standard"/>
    <w:next w:val="Standard"/>
    <w:qFormat/>
    <w:rsid w:val="00817F84"/>
    <w:pPr>
      <w:spacing w:before="240"/>
      <w:outlineLvl w:val="0"/>
    </w:pPr>
    <w:rPr>
      <w:rFonts w:ascii="AauxPro OT Black" w:hAnsi="AauxPro OT Black"/>
      <w:sz w:val="32"/>
    </w:rPr>
  </w:style>
  <w:style w:type="paragraph" w:styleId="berschrift2">
    <w:name w:val="heading 2"/>
    <w:basedOn w:val="Standard"/>
    <w:next w:val="Standard"/>
    <w:qFormat/>
    <w:rsid w:val="00817F84"/>
    <w:pPr>
      <w:spacing w:before="120"/>
      <w:outlineLvl w:val="1"/>
    </w:pPr>
    <w:rPr>
      <w:rFonts w:ascii="AauxPro OT Black" w:hAnsi="AauxPro OT Black"/>
      <w:sz w:val="28"/>
    </w:rPr>
  </w:style>
  <w:style w:type="paragraph" w:styleId="berschrift3">
    <w:name w:val="heading 3"/>
    <w:basedOn w:val="Standard"/>
    <w:next w:val="Standardeinzug"/>
    <w:qFormat/>
    <w:rsid w:val="00817F84"/>
    <w:pPr>
      <w:outlineLvl w:val="2"/>
    </w:pPr>
    <w:rPr>
      <w:rFonts w:ascii="AauxPro OT Black" w:hAnsi="AauxPro OT Black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Hyperlink">
    <w:name w:val="Hyperlink"/>
    <w:rsid w:val="00AD7732"/>
    <w:rPr>
      <w:color w:val="0000FF"/>
      <w:u w:val="single"/>
    </w:rPr>
  </w:style>
  <w:style w:type="paragraph" w:styleId="Makrotext">
    <w:name w:val="macro"/>
    <w:semiHidden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table" w:styleId="Tabellenraster">
    <w:name w:val="Table Grid"/>
    <w:basedOn w:val="NormaleTabelle"/>
    <w:rsid w:val="007F3C8A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817F84"/>
    <w:rPr>
      <w:rFonts w:ascii="AauxPro OT Regular" w:hAnsi="AauxPro OT Regular"/>
      <w:sz w:val="24"/>
    </w:rPr>
  </w:style>
  <w:style w:type="paragraph" w:styleId="Listenabsatz">
    <w:name w:val="List Paragraph"/>
    <w:basedOn w:val="Standard"/>
    <w:uiPriority w:val="34"/>
    <w:qFormat/>
    <w:rsid w:val="00817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17F84"/>
    <w:rPr>
      <w:rFonts w:ascii="AauxPro OT Regular" w:hAnsi="AauxPro OT Regular"/>
      <w:sz w:val="24"/>
    </w:rPr>
  </w:style>
  <w:style w:type="paragraph" w:styleId="berschrift1">
    <w:name w:val="heading 1"/>
    <w:basedOn w:val="Standard"/>
    <w:next w:val="Standard"/>
    <w:qFormat/>
    <w:rsid w:val="00817F84"/>
    <w:pPr>
      <w:spacing w:before="240"/>
      <w:outlineLvl w:val="0"/>
    </w:pPr>
    <w:rPr>
      <w:rFonts w:ascii="AauxPro OT Black" w:hAnsi="AauxPro OT Black"/>
      <w:sz w:val="32"/>
    </w:rPr>
  </w:style>
  <w:style w:type="paragraph" w:styleId="berschrift2">
    <w:name w:val="heading 2"/>
    <w:basedOn w:val="Standard"/>
    <w:next w:val="Standard"/>
    <w:qFormat/>
    <w:rsid w:val="00817F84"/>
    <w:pPr>
      <w:spacing w:before="120"/>
      <w:outlineLvl w:val="1"/>
    </w:pPr>
    <w:rPr>
      <w:rFonts w:ascii="AauxPro OT Black" w:hAnsi="AauxPro OT Black"/>
      <w:sz w:val="28"/>
    </w:rPr>
  </w:style>
  <w:style w:type="paragraph" w:styleId="berschrift3">
    <w:name w:val="heading 3"/>
    <w:basedOn w:val="Standard"/>
    <w:next w:val="Standardeinzug"/>
    <w:qFormat/>
    <w:rsid w:val="00817F84"/>
    <w:pPr>
      <w:outlineLvl w:val="2"/>
    </w:pPr>
    <w:rPr>
      <w:rFonts w:ascii="AauxPro OT Black" w:hAnsi="AauxPro OT Black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Hyperlink">
    <w:name w:val="Hyperlink"/>
    <w:rsid w:val="00AD7732"/>
    <w:rPr>
      <w:color w:val="0000FF"/>
      <w:u w:val="single"/>
    </w:rPr>
  </w:style>
  <w:style w:type="paragraph" w:styleId="Makrotext">
    <w:name w:val="macro"/>
    <w:semiHidden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table" w:styleId="Tabellenraster">
    <w:name w:val="Table Grid"/>
    <w:basedOn w:val="NormaleTabelle"/>
    <w:rsid w:val="007F3C8A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817F84"/>
    <w:rPr>
      <w:rFonts w:ascii="AauxPro OT Regular" w:hAnsi="AauxPro OT Regular"/>
      <w:sz w:val="24"/>
    </w:rPr>
  </w:style>
  <w:style w:type="paragraph" w:styleId="Listenabsatz">
    <w:name w:val="List Paragraph"/>
    <w:basedOn w:val="Standard"/>
    <w:uiPriority w:val="34"/>
    <w:qFormat/>
    <w:rsid w:val="0081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F29A349E.dotm</Template>
  <TotalTime>0</TotalTime>
  <Pages>7</Pages>
  <Words>1117</Words>
  <Characters>8704</Characters>
  <Application>Microsoft Office Word</Application>
  <DocSecurity>0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Amt 16</vt:lpstr>
    </vt:vector>
  </TitlesOfParts>
  <Company>streamBASE GmbH</Company>
  <LinksUpToDate>false</LinksUpToDate>
  <CharactersWithSpaces>9802</CharactersWithSpaces>
  <SharedDoc>false</SharedDoc>
  <HLinks>
    <vt:vector size="6" baseType="variant">
      <vt:variant>
        <vt:i4>2424952</vt:i4>
      </vt:variant>
      <vt:variant>
        <vt:i4>5</vt:i4>
      </vt:variant>
      <vt:variant>
        <vt:i4>0</vt:i4>
      </vt:variant>
      <vt:variant>
        <vt:i4>5</vt:i4>
      </vt:variant>
      <vt:variant>
        <vt:lpwstr>http://www.mtk.org/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Geschäftsanweisung zru Aufbewahrung und Löschung von Sozialdaten</dc:title>
  <dc:creator>uwe.weidner@mtk.org</dc:creator>
  <cp:lastModifiedBy>Uwe Weidner</cp:lastModifiedBy>
  <cp:revision>9</cp:revision>
  <cp:lastPrinted>2002-05-15T09:32:00Z</cp:lastPrinted>
  <dcterms:created xsi:type="dcterms:W3CDTF">2018-08-08T07:06:00Z</dcterms:created>
  <dcterms:modified xsi:type="dcterms:W3CDTF">2018-09-12T11:24:00Z</dcterms:modified>
</cp:coreProperties>
</file>