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95" w:rsidRPr="00183D1A" w:rsidRDefault="000F5E95" w:rsidP="00183D1A">
      <w:pPr>
        <w:pStyle w:val="berschrift1"/>
      </w:pPr>
      <w:r w:rsidRPr="00183D1A">
        <w:t>Geschäftsanweisung</w:t>
      </w:r>
    </w:p>
    <w:p w:rsidR="000F5E95" w:rsidRDefault="000F5E95" w:rsidP="00183D1A">
      <w:pPr>
        <w:pStyle w:val="berschrift2"/>
      </w:pPr>
      <w:r>
        <w:t>Regelung der</w:t>
      </w:r>
      <w:r w:rsidRPr="00F978CF">
        <w:t xml:space="preserve"> Auszahlungsläufe des Amtes 51</w:t>
      </w:r>
    </w:p>
    <w:p w:rsidR="000F5E95" w:rsidRDefault="000F5E95" w:rsidP="000F5E95">
      <w:pPr>
        <w:jc w:val="both"/>
        <w:rPr>
          <w:b/>
        </w:rPr>
      </w:pPr>
    </w:p>
    <w:p w:rsidR="00183D1A" w:rsidRDefault="00183D1A" w:rsidP="000F5E95">
      <w:pPr>
        <w:jc w:val="both"/>
      </w:pPr>
    </w:p>
    <w:p w:rsidR="000F5E95" w:rsidRPr="00406A72" w:rsidRDefault="000F5E95" w:rsidP="00183D1A">
      <w:pPr>
        <w:pStyle w:val="berschrift2"/>
      </w:pPr>
      <w:r>
        <w:t>1. Ziel der Geschäftsanweisung</w:t>
      </w:r>
    </w:p>
    <w:p w:rsidR="000F5E95" w:rsidRDefault="000F5E95" w:rsidP="000F5E95">
      <w:pPr>
        <w:jc w:val="both"/>
      </w:pPr>
      <w:r>
        <w:t>Unter Einsatz des EDV-Verfahrens PROSOZ 14plus werden seit vielen Jahren bei den Ausza</w:t>
      </w:r>
      <w:r>
        <w:t>h</w:t>
      </w:r>
      <w:r>
        <w:t>lungsläufen mehrere umfangreiche Listen gedruckt. Dies führt zu einem hohen Papier- und T</w:t>
      </w:r>
      <w:r>
        <w:t>o</w:t>
      </w:r>
      <w:r>
        <w:t>nerverbrauch und benötigt umfangreichen Raum für die Archivierung.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Ziel dieser Geschäftsanweisung ist es, die vorhandenen elektronischen Möglichkeiten d</w:t>
      </w:r>
      <w:r>
        <w:t>a</w:t>
      </w:r>
      <w:r>
        <w:t>zu zu nutzen, den Umfang der ausgedruckten Unterlagen auf das nach haushalts- und kassenrechtl</w:t>
      </w:r>
      <w:r>
        <w:t>i</w:t>
      </w:r>
      <w:r>
        <w:t xml:space="preserve">chen Vorgaben notwendige Mindestmaß zu beschränken. 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Der Ablauf der Zahlungsläufe in PROSOZ 14plus ist insoweit neu zu regeln:</w:t>
      </w:r>
    </w:p>
    <w:p w:rsidR="000F5E95" w:rsidRDefault="000F5E95" w:rsidP="000F5E95">
      <w:pPr>
        <w:jc w:val="both"/>
      </w:pPr>
    </w:p>
    <w:p w:rsidR="00183D1A" w:rsidRDefault="00183D1A" w:rsidP="000F5E95">
      <w:pPr>
        <w:jc w:val="both"/>
      </w:pPr>
    </w:p>
    <w:p w:rsidR="000F5E95" w:rsidRPr="00183D1A" w:rsidRDefault="000F5E95" w:rsidP="00183D1A">
      <w:pPr>
        <w:pStyle w:val="berschrift2"/>
      </w:pPr>
      <w:r w:rsidRPr="00183D1A">
        <w:t>2. Betroffene Sachgebiete und Bereiche</w:t>
      </w:r>
    </w:p>
    <w:p w:rsidR="000F5E95" w:rsidRPr="003E6169" w:rsidRDefault="000F5E95" w:rsidP="000F5E95">
      <w:pPr>
        <w:jc w:val="both"/>
      </w:pPr>
      <w:r w:rsidRPr="003E6169">
        <w:t xml:space="preserve">Diese Geschäftsanweisung gilt </w:t>
      </w:r>
      <w:r>
        <w:t xml:space="preserve">- soweit in Anlage 1 nicht anders vermerkt - </w:t>
      </w:r>
      <w:r w:rsidRPr="003E6169">
        <w:t>für alle Sac</w:t>
      </w:r>
      <w:r w:rsidRPr="003E6169">
        <w:t>h</w:t>
      </w:r>
      <w:r w:rsidRPr="003E6169">
        <w:t>gebiete und Bereiche, die mit dem EDV-System PROSOZ 14plus Auszahlungen verarbe</w:t>
      </w:r>
      <w:r w:rsidRPr="003E6169">
        <w:t>i</w:t>
      </w:r>
      <w:r w:rsidRPr="003E6169">
        <w:t>ten:</w:t>
      </w:r>
    </w:p>
    <w:p w:rsidR="000F5E95" w:rsidRDefault="000F5E95" w:rsidP="000F5E95">
      <w:pPr>
        <w:jc w:val="both"/>
        <w:rPr>
          <w:b/>
        </w:rPr>
      </w:pPr>
    </w:p>
    <w:p w:rsidR="000F5E95" w:rsidRDefault="000F5E95" w:rsidP="000F5E95">
      <w:pPr>
        <w:numPr>
          <w:ilvl w:val="0"/>
          <w:numId w:val="31"/>
        </w:numPr>
        <w:jc w:val="both"/>
      </w:pPr>
      <w:r>
        <w:t>Beistandschaft/Amtsvormundschaft</w:t>
      </w:r>
    </w:p>
    <w:p w:rsidR="000F5E95" w:rsidRDefault="000F5E95" w:rsidP="000F5E95">
      <w:pPr>
        <w:numPr>
          <w:ilvl w:val="0"/>
          <w:numId w:val="31"/>
        </w:numPr>
        <w:jc w:val="both"/>
      </w:pPr>
      <w:r>
        <w:t>Unterhaltsvorschuss</w:t>
      </w:r>
    </w:p>
    <w:p w:rsidR="000F5E95" w:rsidRDefault="000F5E95" w:rsidP="000F5E95">
      <w:pPr>
        <w:numPr>
          <w:ilvl w:val="0"/>
          <w:numId w:val="31"/>
        </w:numPr>
        <w:jc w:val="both"/>
      </w:pPr>
      <w:r>
        <w:t>Wirtschaftliche Jugendhilfe</w:t>
      </w:r>
    </w:p>
    <w:p w:rsidR="000F5E95" w:rsidRDefault="000F5E95" w:rsidP="000F5E95">
      <w:pPr>
        <w:numPr>
          <w:ilvl w:val="0"/>
          <w:numId w:val="31"/>
        </w:numPr>
        <w:jc w:val="both"/>
      </w:pPr>
      <w:r>
        <w:t>Kindertagespflege</w:t>
      </w:r>
    </w:p>
    <w:p w:rsidR="000F5E95" w:rsidRDefault="000F5E95" w:rsidP="000F5E95">
      <w:pPr>
        <w:numPr>
          <w:ilvl w:val="0"/>
          <w:numId w:val="31"/>
        </w:numPr>
        <w:jc w:val="both"/>
      </w:pPr>
      <w:r>
        <w:t>Kindertagesstättenbeitragsübernahme</w:t>
      </w:r>
    </w:p>
    <w:p w:rsidR="000F5E95" w:rsidRDefault="000F5E95" w:rsidP="000F5E95">
      <w:pPr>
        <w:jc w:val="both"/>
      </w:pPr>
    </w:p>
    <w:p w:rsidR="000F5E95" w:rsidRPr="00782CF9" w:rsidRDefault="000F5E95" w:rsidP="000F5E95">
      <w:pPr>
        <w:jc w:val="both"/>
        <w:rPr>
          <w:b/>
        </w:rPr>
      </w:pPr>
    </w:p>
    <w:p w:rsidR="000F5E95" w:rsidRPr="00183D1A" w:rsidRDefault="000F5E95" w:rsidP="00183D1A">
      <w:pPr>
        <w:pStyle w:val="berschrift2"/>
      </w:pPr>
      <w:r w:rsidRPr="00183D1A">
        <w:t>3. Ablauf der Zahlbarmachung und Erstellung elektronischer Unterlagen</w:t>
      </w:r>
    </w:p>
    <w:p w:rsidR="000F5E95" w:rsidRDefault="000F5E95" w:rsidP="000F5E95">
      <w:pPr>
        <w:jc w:val="both"/>
      </w:pPr>
      <w:r w:rsidRPr="00E66793">
        <w:t xml:space="preserve">Der </w:t>
      </w:r>
      <w:r>
        <w:t xml:space="preserve">gesamte </w:t>
      </w:r>
      <w:r w:rsidRPr="00E66793">
        <w:t xml:space="preserve">Ablauf der Zahlbarmachung </w:t>
      </w:r>
      <w:r>
        <w:t>hat nach Anlage 1 zu dieser Geschäftsanwe</w:t>
      </w:r>
      <w:r>
        <w:t>i</w:t>
      </w:r>
      <w:r>
        <w:t>sung zu erfolgen.</w:t>
      </w:r>
    </w:p>
    <w:p w:rsidR="000F5E95" w:rsidRDefault="000F5E95" w:rsidP="000F5E95">
      <w:pPr>
        <w:jc w:val="both"/>
      </w:pPr>
    </w:p>
    <w:p w:rsidR="00183D1A" w:rsidRDefault="00183D1A" w:rsidP="000F5E95">
      <w:pPr>
        <w:jc w:val="both"/>
      </w:pPr>
    </w:p>
    <w:p w:rsidR="000F5E95" w:rsidRPr="00183D1A" w:rsidRDefault="000F5E95" w:rsidP="00183D1A">
      <w:pPr>
        <w:pStyle w:val="berschrift2"/>
      </w:pPr>
      <w:r w:rsidRPr="00183D1A">
        <w:t>4. Ablage der elektronischen Unterlagen</w:t>
      </w:r>
    </w:p>
    <w:p w:rsidR="000F5E95" w:rsidRDefault="000F5E95" w:rsidP="000F5E95">
      <w:pPr>
        <w:jc w:val="both"/>
      </w:pPr>
      <w:r>
        <w:t>Die Anwendungsadministration für PROSOZ 14plus hat in Absprache mit dem Haupt- und Org</w:t>
      </w:r>
      <w:r>
        <w:t>a</w:t>
      </w:r>
      <w:r>
        <w:t>nisationsamt dafür Sorge zu tragen, dass die Ablage aller im Zusammenhang mit den Zahlung</w:t>
      </w:r>
      <w:r>
        <w:t>s</w:t>
      </w:r>
      <w:r>
        <w:t>läufen erzeugten Dateien geschützt vor Manipulationen und nachträglichen Veränderungen e</w:t>
      </w:r>
      <w:r>
        <w:t>r</w:t>
      </w:r>
      <w:r>
        <w:t xml:space="preserve">folgt. 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Alle in der Anlage 1 aufgeführten elektronischen Unterlagen müssen in nachvollziehbarer Form gespeichert und tä</w:t>
      </w:r>
      <w:r>
        <w:t>g</w:t>
      </w:r>
      <w:r>
        <w:t>lich gesichert werden.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Die Nachprüfbarkeit jeder einzelnen Buchung hinsichtlich Empfängerdaten, veranlasse</w:t>
      </w:r>
      <w:r>
        <w:t>n</w:t>
      </w:r>
      <w:r>
        <w:t>dem / verantwortlichem Sachbearbeiter und weiteren Details zur Auszahlung muss in der elektron</w:t>
      </w:r>
      <w:r>
        <w:t>i</w:t>
      </w:r>
      <w:r>
        <w:t>schen Fassung der Listen in vollem Umfang gegeben sein.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</w:p>
    <w:p w:rsidR="000F5E95" w:rsidRPr="00183D1A" w:rsidRDefault="000F5E95" w:rsidP="00183D1A">
      <w:pPr>
        <w:pStyle w:val="berschrift2"/>
      </w:pPr>
      <w:r w:rsidRPr="00183D1A">
        <w:t>5. Zugriffsrechte</w:t>
      </w:r>
    </w:p>
    <w:p w:rsidR="000F5E95" w:rsidRDefault="000F5E95" w:rsidP="000F5E95">
      <w:pPr>
        <w:jc w:val="both"/>
      </w:pPr>
      <w:r>
        <w:t>Der Zugriff auf die gespeicherten Zahlungsunterlagen ist auf die Anwendungsbetreuung und die Zahlungsveranwortlichen im Amt 51, die zuständigen Mitarbeiterinnen und Mitarbeiter der Rev</w:t>
      </w:r>
      <w:r>
        <w:t>i</w:t>
      </w:r>
      <w:r>
        <w:t>sion sowie die zuständigen Mitarbeiterinnen und Mitarbeiter der Kreiskasse zu beschrä</w:t>
      </w:r>
      <w:r>
        <w:t>n</w:t>
      </w:r>
      <w:r>
        <w:t>ken.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</w:p>
    <w:p w:rsidR="000F5E95" w:rsidRPr="00183D1A" w:rsidRDefault="000F5E95" w:rsidP="00183D1A">
      <w:pPr>
        <w:pStyle w:val="berschrift2"/>
      </w:pPr>
      <w:r w:rsidRPr="00183D1A">
        <w:t>6. Bisherige Regelungen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Die "</w:t>
      </w:r>
      <w:r w:rsidRPr="00C84624">
        <w:t>Gesch</w:t>
      </w:r>
      <w:r>
        <w:t>ä</w:t>
      </w:r>
      <w:r w:rsidRPr="00C84624">
        <w:t>ftsanweisung Zahlungsablauf WIHI KITA</w:t>
      </w:r>
      <w:r>
        <w:t xml:space="preserve">" vom 01.09.2008 wird aufgehoben. 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Andere im Zusammenhang mit dem Einsatz von PROSOZ 14plus im Amt 51 ergangene G</w:t>
      </w:r>
      <w:r>
        <w:t>e</w:t>
      </w:r>
      <w:r>
        <w:t>schäfts- und Handlungsanweisungen bleiben we</w:t>
      </w:r>
      <w:r>
        <w:t>i</w:t>
      </w:r>
      <w:r>
        <w:t>terhin gültig.</w:t>
      </w:r>
    </w:p>
    <w:p w:rsidR="000F5E95" w:rsidRDefault="000F5E95" w:rsidP="000F5E95">
      <w:pPr>
        <w:jc w:val="both"/>
      </w:pPr>
    </w:p>
    <w:p w:rsidR="000F5E95" w:rsidRPr="00E66793" w:rsidRDefault="000F5E95" w:rsidP="000F5E95">
      <w:pPr>
        <w:jc w:val="both"/>
      </w:pPr>
    </w:p>
    <w:p w:rsidR="000F5E95" w:rsidRPr="00183D1A" w:rsidRDefault="00183D1A" w:rsidP="00183D1A">
      <w:pPr>
        <w:pStyle w:val="berschrift2"/>
      </w:pPr>
      <w:r>
        <w:t>7</w:t>
      </w:r>
      <w:r w:rsidR="000F5E95" w:rsidRPr="00183D1A">
        <w:t>. Inkrafttreten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Diese Geschäftsanweisung tritt mit sofortiger Wirkung in Kraft.</w:t>
      </w: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 xml:space="preserve">Hofheim, den </w:t>
      </w:r>
      <w:r w:rsidR="001635B5">
        <w:t xml:space="preserve">28. </w:t>
      </w:r>
      <w:r>
        <w:t>April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E95" w:rsidRDefault="000F5E95" w:rsidP="000F5E95">
      <w:pPr>
        <w:jc w:val="both"/>
      </w:pPr>
    </w:p>
    <w:p w:rsidR="000F5E95" w:rsidRDefault="00183D1A" w:rsidP="000F5E95">
      <w:pPr>
        <w:jc w:val="both"/>
      </w:pPr>
      <w:r>
        <w:t>gez.</w:t>
      </w:r>
      <w:bookmarkStart w:id="0" w:name="_GoBack"/>
      <w:bookmarkEnd w:id="0"/>
    </w:p>
    <w:p w:rsidR="000F5E95" w:rsidRDefault="000F5E95" w:rsidP="000F5E95">
      <w:pPr>
        <w:jc w:val="both"/>
      </w:pPr>
    </w:p>
    <w:p w:rsidR="000F5E95" w:rsidRDefault="000F5E95" w:rsidP="000F5E95">
      <w:pPr>
        <w:jc w:val="both"/>
      </w:pPr>
      <w:r>
        <w:t>(Thilo Schobes)</w:t>
      </w:r>
    </w:p>
    <w:p w:rsidR="00567ADE" w:rsidRDefault="00567ADE">
      <w:r>
        <w:br w:type="page"/>
      </w:r>
    </w:p>
    <w:p w:rsidR="00567ADE" w:rsidRPr="00567ADE" w:rsidRDefault="00567ADE" w:rsidP="00567ADE">
      <w:pPr>
        <w:jc w:val="both"/>
        <w:rPr>
          <w:sz w:val="28"/>
          <w:szCs w:val="24"/>
        </w:rPr>
      </w:pPr>
      <w:r w:rsidRPr="00567ADE">
        <w:rPr>
          <w:sz w:val="28"/>
          <w:szCs w:val="24"/>
        </w:rPr>
        <w:lastRenderedPageBreak/>
        <w:t xml:space="preserve">Anlage 1 </w:t>
      </w:r>
    </w:p>
    <w:p w:rsidR="00567ADE" w:rsidRPr="00567ADE" w:rsidRDefault="00567ADE" w:rsidP="00567ADE">
      <w:pPr>
        <w:jc w:val="both"/>
        <w:rPr>
          <w:sz w:val="28"/>
          <w:szCs w:val="24"/>
        </w:rPr>
      </w:pPr>
      <w:r w:rsidRPr="00567ADE">
        <w:rPr>
          <w:sz w:val="28"/>
          <w:szCs w:val="24"/>
        </w:rPr>
        <w:t>zur Geschäftsanweisung zur Regelung der Auszahlung</w:t>
      </w:r>
      <w:r w:rsidRPr="00567ADE">
        <w:rPr>
          <w:sz w:val="28"/>
          <w:szCs w:val="24"/>
        </w:rPr>
        <w:t>s</w:t>
      </w:r>
      <w:r w:rsidRPr="00567ADE">
        <w:rPr>
          <w:sz w:val="28"/>
          <w:szCs w:val="24"/>
        </w:rPr>
        <w:t>läufe des Amtes 51</w:t>
      </w:r>
    </w:p>
    <w:p w:rsidR="00567ADE" w:rsidRPr="00567ADE" w:rsidRDefault="00567ADE" w:rsidP="00567ADE">
      <w:pPr>
        <w:jc w:val="both"/>
      </w:pPr>
    </w:p>
    <w:p w:rsidR="00567ADE" w:rsidRDefault="00567ADE" w:rsidP="00567ADE">
      <w:r>
        <w:t>Ablauf der Zahlbarmachung in PROSOZ 14plus</w:t>
      </w:r>
    </w:p>
    <w:p w:rsidR="00567ADE" w:rsidRDefault="00567ADE" w:rsidP="00567AD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5"/>
        <w:gridCol w:w="1959"/>
        <w:gridCol w:w="1928"/>
        <w:gridCol w:w="2275"/>
        <w:gridCol w:w="2102"/>
      </w:tblGrid>
      <w:tr w:rsidR="00567ADE" w:rsidRPr="00567ADE" w:rsidTr="00567ADE">
        <w:trPr>
          <w:trHeight w:val="567"/>
        </w:trPr>
        <w:tc>
          <w:tcPr>
            <w:tcW w:w="1835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Arbeitsschritt</w:t>
            </w:r>
          </w:p>
        </w:tc>
        <w:tc>
          <w:tcPr>
            <w:tcW w:w="1959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Verantwortlich / Durchführend</w:t>
            </w:r>
            <w:r w:rsidRPr="00567ADE">
              <w:rPr>
                <w:rFonts w:ascii="AauxPro OT Black" w:hAnsi="AauxPro OT Black"/>
                <w:sz w:val="20"/>
              </w:rPr>
              <w:br/>
            </w:r>
            <w:r w:rsidRPr="00567ADE">
              <w:rPr>
                <w:sz w:val="20"/>
              </w:rPr>
              <w:t>(jeweils inkl. Ve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treter/in)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Liste / Datei</w:t>
            </w:r>
          </w:p>
        </w:tc>
        <w:tc>
          <w:tcPr>
            <w:tcW w:w="2275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Bisheriges</w:t>
            </w:r>
            <w:r w:rsidRPr="00567ADE">
              <w:rPr>
                <w:rFonts w:ascii="AauxPro OT Black" w:hAnsi="AauxPro OT Black"/>
                <w:sz w:val="20"/>
              </w:rPr>
              <w:br/>
              <w:t>Vorgehen</w:t>
            </w:r>
          </w:p>
        </w:tc>
        <w:tc>
          <w:tcPr>
            <w:tcW w:w="2102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Künftiges Vorgehen</w:t>
            </w:r>
          </w:p>
        </w:tc>
      </w:tr>
      <w:tr w:rsidR="00567ADE" w:rsidRPr="00567ADE" w:rsidTr="00567ADE">
        <w:trPr>
          <w:trHeight w:val="567"/>
        </w:trPr>
        <w:tc>
          <w:tcPr>
            <w:tcW w:w="1835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m</w:t>
            </w:r>
            <w:r w:rsidRPr="00567ADE">
              <w:rPr>
                <w:sz w:val="20"/>
              </w:rPr>
              <w:t>o</w:t>
            </w:r>
            <w:r w:rsidRPr="00567ADE">
              <w:rPr>
                <w:sz w:val="20"/>
              </w:rPr>
              <w:t xml:space="preserve">natliche </w:t>
            </w:r>
            <w:r w:rsidRPr="00567ADE">
              <w:rPr>
                <w:sz w:val="20"/>
              </w:rPr>
              <w:br/>
              <w:t>Soll- und A</w:t>
            </w:r>
            <w:r w:rsidRPr="00567ADE">
              <w:rPr>
                <w:sz w:val="20"/>
              </w:rPr>
              <w:t>n</w:t>
            </w:r>
            <w:r w:rsidRPr="00567ADE">
              <w:rPr>
                <w:sz w:val="20"/>
              </w:rPr>
              <w:t>spruchstellung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wortliche/r im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Liste der automat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schen Soll- und Anspruchste</w:t>
            </w:r>
            <w:r w:rsidRPr="00567ADE">
              <w:rPr>
                <w:sz w:val="20"/>
              </w:rPr>
              <w:t>l</w:t>
            </w:r>
            <w:r w:rsidRPr="00567ADE">
              <w:rPr>
                <w:sz w:val="20"/>
              </w:rPr>
              <w:t>lungen</w:t>
            </w:r>
          </w:p>
        </w:tc>
        <w:tc>
          <w:tcPr>
            <w:tcW w:w="2275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Keine Druckausgabe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</w:tc>
        <w:tc>
          <w:tcPr>
            <w:tcW w:w="2102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wie bisher</w:t>
            </w:r>
          </w:p>
        </w:tc>
      </w:tr>
      <w:tr w:rsidR="00567ADE" w:rsidRPr="00567ADE" w:rsidTr="00567ADE">
        <w:trPr>
          <w:trHeight w:val="4714"/>
        </w:trPr>
        <w:tc>
          <w:tcPr>
            <w:tcW w:w="1835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Prüfen der </w:t>
            </w:r>
            <w:r w:rsidRPr="00567ADE">
              <w:rPr>
                <w:sz w:val="20"/>
              </w:rPr>
              <w:br/>
              <w:t>Auszahlungsvo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schläge</w:t>
            </w:r>
          </w:p>
        </w:tc>
        <w:tc>
          <w:tcPr>
            <w:tcW w:w="1959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Jede/r Sachbea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beiter/in für den eig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nen Bereich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Auszahlungsvo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schlag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liste</w:t>
            </w:r>
          </w:p>
        </w:tc>
        <w:tc>
          <w:tcPr>
            <w:tcW w:w="2275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51.30: IdR Prüfung d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rekt in Prosoz 14plus, kein Druck, keine We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terle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tung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Sonstige Bereiche: 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Druckausgabe, Weite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leitung der abgezeic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neten Liste an Za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wortlichen und Ablage in Archi</w:t>
            </w:r>
            <w:r w:rsidRPr="00567ADE">
              <w:rPr>
                <w:sz w:val="20"/>
              </w:rPr>
              <w:t>v</w:t>
            </w:r>
            <w:r w:rsidRPr="00567ADE">
              <w:rPr>
                <w:sz w:val="20"/>
              </w:rPr>
              <w:t>boxen, später in Regis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ratur</w:t>
            </w:r>
          </w:p>
        </w:tc>
        <w:tc>
          <w:tcPr>
            <w:tcW w:w="2102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51.30: wie bisher 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Sonstige Bereiche: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Keine Druckausgabe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Sachbearbeiter/in sendet g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prüfte PDF-Datei per E-Mail mit dem Begleittext "sachlich und rechn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risch richtig" an an Zahlungsverantwor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liche/n;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Zahlungsverantwor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liche/r speichert die E-Mail inkl. Anhang im Ordner "Ausza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lung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vorschläge" des jeweiligen Sachg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 xml:space="preserve">biets ab. </w:t>
            </w:r>
          </w:p>
        </w:tc>
      </w:tr>
    </w:tbl>
    <w:p w:rsidR="00567ADE" w:rsidRDefault="00567ADE" w:rsidP="00567ADE"/>
    <w:p w:rsidR="00567ADE" w:rsidRDefault="00567ADE" w:rsidP="00567AD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1928"/>
        <w:gridCol w:w="2281"/>
        <w:gridCol w:w="2096"/>
      </w:tblGrid>
      <w:tr w:rsidR="00567ADE" w:rsidRPr="00567ADE" w:rsidTr="00567ADE">
        <w:trPr>
          <w:trHeight w:val="567"/>
        </w:trPr>
        <w:tc>
          <w:tcPr>
            <w:tcW w:w="1809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lastRenderedPageBreak/>
              <w:t>Arbeit</w:t>
            </w:r>
            <w:r w:rsidRPr="00567ADE">
              <w:rPr>
                <w:rFonts w:ascii="AauxPro OT Black" w:hAnsi="AauxPro OT Black"/>
                <w:sz w:val="20"/>
              </w:rPr>
              <w:t>s</w:t>
            </w:r>
            <w:r w:rsidRPr="00567ADE">
              <w:rPr>
                <w:rFonts w:ascii="AauxPro OT Black" w:hAnsi="AauxPro OT Black"/>
                <w:sz w:val="20"/>
              </w:rPr>
              <w:t>schritt</w:t>
            </w:r>
          </w:p>
        </w:tc>
        <w:tc>
          <w:tcPr>
            <w:tcW w:w="1985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Verantwortlich / Durchfü</w:t>
            </w:r>
            <w:r w:rsidRPr="00567ADE">
              <w:rPr>
                <w:rFonts w:ascii="AauxPro OT Black" w:hAnsi="AauxPro OT Black"/>
                <w:sz w:val="20"/>
              </w:rPr>
              <w:t>h</w:t>
            </w:r>
            <w:r w:rsidRPr="00567ADE">
              <w:rPr>
                <w:rFonts w:ascii="AauxPro OT Black" w:hAnsi="AauxPro OT Black"/>
                <w:sz w:val="20"/>
              </w:rPr>
              <w:t>rend</w:t>
            </w:r>
            <w:r w:rsidRPr="00567ADE">
              <w:rPr>
                <w:rFonts w:ascii="AauxPro OT Black" w:hAnsi="AauxPro OT Black"/>
                <w:sz w:val="20"/>
              </w:rPr>
              <w:br/>
            </w:r>
            <w:r w:rsidRPr="00567ADE">
              <w:rPr>
                <w:sz w:val="20"/>
              </w:rPr>
              <w:t>(jeweils inkl. Vertr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ter/in)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Liste / Datei</w:t>
            </w:r>
          </w:p>
        </w:tc>
        <w:tc>
          <w:tcPr>
            <w:tcW w:w="2281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Bisheriges</w:t>
            </w:r>
            <w:r w:rsidRPr="00567ADE">
              <w:rPr>
                <w:rFonts w:ascii="AauxPro OT Black" w:hAnsi="AauxPro OT Black"/>
                <w:sz w:val="20"/>
              </w:rPr>
              <w:br/>
              <w:t>Vorgehen</w:t>
            </w:r>
          </w:p>
        </w:tc>
        <w:tc>
          <w:tcPr>
            <w:tcW w:w="2096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Künftiges Vorgehen</w:t>
            </w:r>
          </w:p>
        </w:tc>
      </w:tr>
      <w:tr w:rsidR="00567ADE" w:rsidRPr="00567ADE" w:rsidTr="00567ADE">
        <w:trPr>
          <w:trHeight w:val="567"/>
        </w:trPr>
        <w:tc>
          <w:tcPr>
            <w:tcW w:w="1809" w:type="dxa"/>
            <w:shd w:val="clear" w:color="auto" w:fill="auto"/>
          </w:tcPr>
          <w:p w:rsid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Zahlungen 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vera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beiten (1)</w:t>
            </w:r>
          </w:p>
        </w:tc>
        <w:tc>
          <w:tcPr>
            <w:tcW w:w="1985" w:type="dxa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 xml:space="preserve">wortliche/r </w:t>
            </w:r>
            <w:r>
              <w:rPr>
                <w:sz w:val="20"/>
              </w:rPr>
              <w:t>i</w:t>
            </w:r>
            <w:r w:rsidRPr="00567ADE">
              <w:rPr>
                <w:sz w:val="20"/>
              </w:rPr>
              <w:t>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Sammel- / Einze</w:t>
            </w:r>
            <w:r w:rsidRPr="00567ADE">
              <w:rPr>
                <w:sz w:val="20"/>
              </w:rPr>
              <w:t>l</w:t>
            </w:r>
            <w:r w:rsidRPr="00567ADE">
              <w:rPr>
                <w:sz w:val="20"/>
              </w:rPr>
              <w:t>auszahlungs-a</w:t>
            </w:r>
            <w:r w:rsidRPr="00567ADE">
              <w:rPr>
                <w:sz w:val="20"/>
              </w:rPr>
              <w:t>n</w:t>
            </w:r>
            <w:r w:rsidRPr="00567ADE">
              <w:rPr>
                <w:sz w:val="20"/>
              </w:rPr>
              <w:t xml:space="preserve">ordnung </w:t>
            </w:r>
          </w:p>
        </w:tc>
        <w:tc>
          <w:tcPr>
            <w:tcW w:w="2281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Druckausgabe (Original und Aktenau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fertigung),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Feststellung und A</w:t>
            </w:r>
            <w:r w:rsidRPr="00567ADE">
              <w:rPr>
                <w:sz w:val="20"/>
              </w:rPr>
              <w:t>n</w:t>
            </w:r>
            <w:r w:rsidRPr="00567ADE">
              <w:rPr>
                <w:sz w:val="20"/>
              </w:rPr>
              <w:t>ordnung han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schriftlich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</w:tc>
        <w:tc>
          <w:tcPr>
            <w:tcW w:w="2096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wie bisher</w:t>
            </w:r>
          </w:p>
        </w:tc>
      </w:tr>
      <w:tr w:rsidR="00567ADE" w:rsidRPr="00567ADE" w:rsidTr="00567ADE">
        <w:trPr>
          <w:trHeight w:val="567"/>
        </w:trPr>
        <w:tc>
          <w:tcPr>
            <w:tcW w:w="1809" w:type="dxa"/>
            <w:shd w:val="clear" w:color="auto" w:fill="auto"/>
          </w:tcPr>
          <w:p w:rsid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Zahlungen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vera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beiten (2)</w:t>
            </w:r>
          </w:p>
        </w:tc>
        <w:tc>
          <w:tcPr>
            <w:tcW w:w="1985" w:type="dxa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wortliche/r im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Empfängerliste</w:t>
            </w:r>
            <w:r w:rsidRPr="00567ADE">
              <w:rPr>
                <w:sz w:val="20"/>
              </w:rPr>
              <w:br/>
              <w:t>(Anlage zur Sa</w:t>
            </w:r>
            <w:r w:rsidRPr="00567ADE">
              <w:rPr>
                <w:sz w:val="20"/>
              </w:rPr>
              <w:t>m</w:t>
            </w:r>
            <w:r w:rsidRPr="00567ADE">
              <w:rPr>
                <w:sz w:val="20"/>
              </w:rPr>
              <w:t>mel- / Einzelau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zahlungsanor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nung)</w:t>
            </w:r>
          </w:p>
        </w:tc>
        <w:tc>
          <w:tcPr>
            <w:tcW w:w="2281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51.30: Druckausg</w:t>
            </w:r>
            <w:r w:rsidRPr="00567ADE">
              <w:rPr>
                <w:sz w:val="20"/>
              </w:rPr>
              <w:t>a</w:t>
            </w:r>
            <w:r w:rsidRPr="00567ADE">
              <w:rPr>
                <w:sz w:val="20"/>
              </w:rPr>
              <w:t>be und Beiheftung zur Anor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nung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Sonstige: 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Keine Druckausg</w:t>
            </w:r>
            <w:r w:rsidRPr="00567ADE">
              <w:rPr>
                <w:sz w:val="20"/>
              </w:rPr>
              <w:t>a</w:t>
            </w:r>
            <w:r w:rsidRPr="00567ADE">
              <w:rPr>
                <w:sz w:val="20"/>
              </w:rPr>
              <w:t>be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</w:tc>
        <w:tc>
          <w:tcPr>
            <w:tcW w:w="2096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Kein</w:t>
            </w:r>
            <w:r>
              <w:rPr>
                <w:sz w:val="20"/>
              </w:rPr>
              <w:t>e</w:t>
            </w:r>
            <w:r w:rsidRPr="00567ADE">
              <w:rPr>
                <w:sz w:val="20"/>
              </w:rPr>
              <w:t xml:space="preserve"> Druckau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gabe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vierung als PDF in der PROSOZ 14plus-Datenbank</w:t>
            </w:r>
          </w:p>
        </w:tc>
      </w:tr>
      <w:tr w:rsidR="00567ADE" w:rsidRPr="00567ADE" w:rsidTr="00567ADE">
        <w:trPr>
          <w:trHeight w:val="567"/>
        </w:trPr>
        <w:tc>
          <w:tcPr>
            <w:tcW w:w="1809" w:type="dxa"/>
            <w:shd w:val="clear" w:color="auto" w:fill="auto"/>
          </w:tcPr>
          <w:p w:rsidR="00567ADE" w:rsidRDefault="00567ADE" w:rsidP="00122A1B">
            <w:pPr>
              <w:rPr>
                <w:sz w:val="20"/>
              </w:rPr>
            </w:pPr>
            <w:r>
              <w:rPr>
                <w:sz w:val="20"/>
              </w:rPr>
              <w:t>Zahlungen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vera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beiten (3)</w:t>
            </w:r>
          </w:p>
        </w:tc>
        <w:tc>
          <w:tcPr>
            <w:tcW w:w="1985" w:type="dxa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wortliche/r im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2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Auszahlungsliste</w:t>
            </w:r>
          </w:p>
        </w:tc>
        <w:tc>
          <w:tcPr>
            <w:tcW w:w="2281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Druckausgabe und A</w:t>
            </w:r>
            <w:r w:rsidRPr="00567ADE">
              <w:rPr>
                <w:sz w:val="20"/>
              </w:rPr>
              <w:t>b</w:t>
            </w:r>
            <w:r w:rsidRPr="00567ADE">
              <w:rPr>
                <w:sz w:val="20"/>
              </w:rPr>
              <w:t>lage in Archivboxen, später in Registr</w:t>
            </w:r>
            <w:r w:rsidRPr="00567ADE">
              <w:rPr>
                <w:sz w:val="20"/>
              </w:rPr>
              <w:t>a</w:t>
            </w:r>
            <w:r w:rsidRPr="00567ADE">
              <w:rPr>
                <w:sz w:val="20"/>
              </w:rPr>
              <w:t>tur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Speicherung der PDF im Ordner G:\ Alle\ Auszahlungsläufe Amt51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</w:tc>
        <w:tc>
          <w:tcPr>
            <w:tcW w:w="2096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Keine Druckau</w:t>
            </w:r>
            <w:r w:rsidRPr="00567ADE">
              <w:rPr>
                <w:sz w:val="20"/>
              </w:rPr>
              <w:t>s</w:t>
            </w:r>
            <w:r w:rsidRPr="00567ADE">
              <w:rPr>
                <w:sz w:val="20"/>
              </w:rPr>
              <w:t>gabe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Speicherung der PDF im Or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ner G:\ Alle\ Ausza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lungsläufe Amt51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</w:t>
            </w:r>
            <w:r w:rsidRPr="00567ADE">
              <w:rPr>
                <w:sz w:val="20"/>
              </w:rPr>
              <w:t>i</w:t>
            </w:r>
            <w:r w:rsidRPr="00567ADE">
              <w:rPr>
                <w:sz w:val="20"/>
              </w:rPr>
              <w:t>vierung als PDF in der PROSOZ 14plus-Datenbank</w:t>
            </w:r>
          </w:p>
        </w:tc>
      </w:tr>
    </w:tbl>
    <w:p w:rsidR="00567ADE" w:rsidRDefault="00567ADE" w:rsidP="00567ADE"/>
    <w:p w:rsidR="00567ADE" w:rsidRDefault="00567ADE" w:rsidP="00567ADE">
      <w:r>
        <w:br w:type="page"/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5"/>
        <w:gridCol w:w="1959"/>
        <w:gridCol w:w="15"/>
        <w:gridCol w:w="1918"/>
        <w:gridCol w:w="2304"/>
        <w:gridCol w:w="2073"/>
      </w:tblGrid>
      <w:tr w:rsidR="00567ADE" w:rsidRPr="00567ADE" w:rsidTr="00567ADE">
        <w:trPr>
          <w:trHeight w:val="567"/>
        </w:trPr>
        <w:tc>
          <w:tcPr>
            <w:tcW w:w="1835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lastRenderedPageBreak/>
              <w:t>Arbeitsschritt</w:t>
            </w:r>
          </w:p>
        </w:tc>
        <w:tc>
          <w:tcPr>
            <w:tcW w:w="1959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Verantwortlich / Durchführend</w:t>
            </w:r>
            <w:r w:rsidRPr="00567ADE">
              <w:rPr>
                <w:rFonts w:ascii="AauxPro OT Black" w:hAnsi="AauxPro OT Black"/>
                <w:sz w:val="20"/>
              </w:rPr>
              <w:br/>
            </w:r>
            <w:r w:rsidRPr="00567ADE">
              <w:rPr>
                <w:sz w:val="20"/>
              </w:rPr>
              <w:t>(jeweils inkl. Ve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treter/in)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Liste / Datei</w:t>
            </w:r>
          </w:p>
        </w:tc>
        <w:tc>
          <w:tcPr>
            <w:tcW w:w="2304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Bisheriges</w:t>
            </w:r>
            <w:r w:rsidRPr="00567ADE">
              <w:rPr>
                <w:rFonts w:ascii="AauxPro OT Black" w:hAnsi="AauxPro OT Black"/>
                <w:sz w:val="20"/>
              </w:rPr>
              <w:br/>
              <w:t>Vorgehen</w:t>
            </w:r>
          </w:p>
        </w:tc>
        <w:tc>
          <w:tcPr>
            <w:tcW w:w="2073" w:type="dxa"/>
            <w:shd w:val="clear" w:color="auto" w:fill="auto"/>
          </w:tcPr>
          <w:p w:rsidR="00567ADE" w:rsidRPr="00567ADE" w:rsidRDefault="00567ADE" w:rsidP="00122A1B">
            <w:pPr>
              <w:rPr>
                <w:rFonts w:ascii="AauxPro OT Black" w:hAnsi="AauxPro OT Black"/>
                <w:sz w:val="20"/>
              </w:rPr>
            </w:pPr>
            <w:r w:rsidRPr="00567ADE">
              <w:rPr>
                <w:rFonts w:ascii="AauxPro OT Black" w:hAnsi="AauxPro OT Black"/>
                <w:sz w:val="20"/>
              </w:rPr>
              <w:t>Künftiges Vorgehen</w:t>
            </w:r>
          </w:p>
        </w:tc>
      </w:tr>
      <w:tr w:rsidR="00567ADE" w:rsidRPr="00567ADE" w:rsidTr="00567ADE">
        <w:trPr>
          <w:trHeight w:val="567"/>
        </w:trPr>
        <w:tc>
          <w:tcPr>
            <w:tcW w:w="1835" w:type="dxa"/>
            <w:shd w:val="clear" w:color="auto" w:fill="auto"/>
          </w:tcPr>
          <w:p w:rsid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Zahlungen 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vera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beiten (4)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wortliche/r im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1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Liste der internen Verrec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nungen</w:t>
            </w:r>
          </w:p>
        </w:tc>
        <w:tc>
          <w:tcPr>
            <w:tcW w:w="2304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Druckausgabe und </w:t>
            </w:r>
            <w:r w:rsidRPr="00567ADE">
              <w:rPr>
                <w:sz w:val="20"/>
              </w:rPr>
              <w:br/>
              <w:t>Beiheftung zur Anor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nung für Buchung der internen Verrechnu</w:t>
            </w:r>
            <w:r w:rsidRPr="00567ADE">
              <w:rPr>
                <w:sz w:val="20"/>
              </w:rPr>
              <w:t>n</w:t>
            </w:r>
            <w:r w:rsidRPr="00567ADE">
              <w:rPr>
                <w:sz w:val="20"/>
              </w:rPr>
              <w:t>gen in NSK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Gedrucktes Exemplar an Amt 50, wenn Buchu</w:t>
            </w:r>
            <w:r w:rsidRPr="00567ADE">
              <w:rPr>
                <w:sz w:val="20"/>
              </w:rPr>
              <w:t>n</w:t>
            </w:r>
            <w:r w:rsidRPr="00567ADE">
              <w:rPr>
                <w:sz w:val="20"/>
              </w:rPr>
              <w:t>gen für Amt 50 entha</w:t>
            </w:r>
            <w:r w:rsidRPr="00567ADE">
              <w:rPr>
                <w:sz w:val="20"/>
              </w:rPr>
              <w:t>l</w:t>
            </w:r>
            <w:r w:rsidRPr="00567ADE">
              <w:rPr>
                <w:sz w:val="20"/>
              </w:rPr>
              <w:t>ten</w:t>
            </w:r>
          </w:p>
        </w:tc>
        <w:tc>
          <w:tcPr>
            <w:tcW w:w="2073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wie bisher</w:t>
            </w:r>
          </w:p>
        </w:tc>
      </w:tr>
      <w:tr w:rsidR="00567ADE" w:rsidRPr="00567ADE" w:rsidTr="00567ADE">
        <w:trPr>
          <w:trHeight w:val="567"/>
        </w:trPr>
        <w:tc>
          <w:tcPr>
            <w:tcW w:w="1835" w:type="dxa"/>
            <w:shd w:val="clear" w:color="auto" w:fill="auto"/>
          </w:tcPr>
          <w:p w:rsid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 xml:space="preserve">Zahlungen </w:t>
            </w: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vera</w:t>
            </w:r>
            <w:r w:rsidRPr="00567ADE">
              <w:rPr>
                <w:sz w:val="20"/>
              </w:rPr>
              <w:t>r</w:t>
            </w:r>
            <w:r w:rsidRPr="00567ADE">
              <w:rPr>
                <w:sz w:val="20"/>
              </w:rPr>
              <w:t>beiten (5)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567ADE" w:rsidRPr="00567ADE" w:rsidRDefault="00567ADE" w:rsidP="00567ADE">
            <w:pPr>
              <w:rPr>
                <w:sz w:val="20"/>
              </w:rPr>
            </w:pPr>
            <w:r w:rsidRPr="00567ADE">
              <w:rPr>
                <w:sz w:val="20"/>
              </w:rPr>
              <w:t>Zahlungsveran</w:t>
            </w:r>
            <w:r w:rsidRPr="00567ADE">
              <w:rPr>
                <w:sz w:val="20"/>
              </w:rPr>
              <w:t>t</w:t>
            </w:r>
            <w:r w:rsidRPr="00567ADE">
              <w:rPr>
                <w:sz w:val="20"/>
              </w:rPr>
              <w:t>wortliche/r im j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weiligen Sac</w:t>
            </w:r>
            <w:r w:rsidRPr="00567ADE">
              <w:rPr>
                <w:sz w:val="20"/>
              </w:rPr>
              <w:t>h</w:t>
            </w:r>
            <w:r w:rsidRPr="00567ADE">
              <w:rPr>
                <w:sz w:val="20"/>
              </w:rPr>
              <w:t>gebiet</w:t>
            </w:r>
          </w:p>
        </w:tc>
        <w:tc>
          <w:tcPr>
            <w:tcW w:w="1918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Banksammelliste</w:t>
            </w:r>
          </w:p>
        </w:tc>
        <w:tc>
          <w:tcPr>
            <w:tcW w:w="2304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Speicherung der PDF im Or</w:t>
            </w:r>
            <w:r w:rsidRPr="00567ADE">
              <w:rPr>
                <w:sz w:val="20"/>
              </w:rPr>
              <w:t>d</w:t>
            </w:r>
            <w:r w:rsidRPr="00567ADE">
              <w:rPr>
                <w:sz w:val="20"/>
              </w:rPr>
              <w:t>ner G:\ Alle\ Auszahlungsläufe Amt51</w:t>
            </w:r>
          </w:p>
          <w:p w:rsidR="00567ADE" w:rsidRPr="00567ADE" w:rsidRDefault="00567ADE" w:rsidP="00122A1B">
            <w:pPr>
              <w:rPr>
                <w:sz w:val="20"/>
              </w:rPr>
            </w:pPr>
          </w:p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automatische Archivi</w:t>
            </w:r>
            <w:r w:rsidRPr="00567ADE">
              <w:rPr>
                <w:sz w:val="20"/>
              </w:rPr>
              <w:t>e</w:t>
            </w:r>
            <w:r w:rsidRPr="00567ADE">
              <w:rPr>
                <w:sz w:val="20"/>
              </w:rPr>
              <w:t>rung als PDF in der PROSOZ 14plus-Datenbank</w:t>
            </w:r>
          </w:p>
        </w:tc>
        <w:tc>
          <w:tcPr>
            <w:tcW w:w="2073" w:type="dxa"/>
            <w:shd w:val="clear" w:color="auto" w:fill="auto"/>
          </w:tcPr>
          <w:p w:rsidR="00567ADE" w:rsidRPr="00567ADE" w:rsidRDefault="00567ADE" w:rsidP="00122A1B">
            <w:pPr>
              <w:rPr>
                <w:sz w:val="20"/>
              </w:rPr>
            </w:pPr>
            <w:r w:rsidRPr="00567ADE">
              <w:rPr>
                <w:sz w:val="20"/>
              </w:rPr>
              <w:t>wie bisher</w:t>
            </w:r>
          </w:p>
        </w:tc>
      </w:tr>
    </w:tbl>
    <w:p w:rsidR="00567ADE" w:rsidRDefault="00567ADE" w:rsidP="00567ADE">
      <w:pPr>
        <w:jc w:val="both"/>
      </w:pPr>
    </w:p>
    <w:p w:rsidR="0093517A" w:rsidRPr="000F5E95" w:rsidRDefault="0093517A" w:rsidP="000F5E95"/>
    <w:sectPr w:rsidR="0093517A" w:rsidRPr="000F5E95" w:rsidSect="00441915">
      <w:headerReference w:type="default" r:id="rId9"/>
      <w:footerReference w:type="default" r:id="rId10"/>
      <w:headerReference w:type="first" r:id="rId11"/>
      <w:pgSz w:w="11907" w:h="16840" w:code="9"/>
      <w:pgMar w:top="504" w:right="720" w:bottom="720" w:left="1304" w:header="567" w:footer="4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7A" w:rsidRDefault="0093517A">
      <w:r>
        <w:separator/>
      </w:r>
    </w:p>
  </w:endnote>
  <w:endnote w:type="continuationSeparator" w:id="0">
    <w:p w:rsidR="0093517A" w:rsidRDefault="0093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uxPro OT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EA" w:rsidRDefault="007A6DEA">
    <w:pPr>
      <w:pStyle w:val="Fuzeile"/>
      <w:jc w:val="right"/>
    </w:pPr>
  </w:p>
  <w:p w:rsidR="007A6DEA" w:rsidRDefault="007A6DEA" w:rsidP="00183D1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7A" w:rsidRDefault="0093517A">
      <w:r>
        <w:separator/>
      </w:r>
    </w:p>
  </w:footnote>
  <w:footnote w:type="continuationSeparator" w:id="0">
    <w:p w:rsidR="0093517A" w:rsidRDefault="0093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>
    <w:pPr>
      <w:pStyle w:val="Kopfzeile"/>
      <w:tabs>
        <w:tab w:val="right" w:pos="99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 w:rsidP="00163C82">
    <w:pPr>
      <w:pStyle w:val="Kopfzeile"/>
      <w:tabs>
        <w:tab w:val="clear" w:pos="9071"/>
      </w:tabs>
      <w:ind w:left="-136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5A221" wp14:editId="13F9B45E">
          <wp:simplePos x="0" y="0"/>
          <wp:positionH relativeFrom="column">
            <wp:posOffset>4485318</wp:posOffset>
          </wp:positionH>
          <wp:positionV relativeFrom="paragraph">
            <wp:posOffset>-102870</wp:posOffset>
          </wp:positionV>
          <wp:extent cx="1834515" cy="457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517A" w:rsidRDefault="0093517A" w:rsidP="00163C82">
    <w:pPr>
      <w:pStyle w:val="Kopfzeile"/>
      <w:tabs>
        <w:tab w:val="clear" w:pos="9071"/>
      </w:tabs>
      <w:ind w:left="-1361"/>
    </w:pPr>
  </w:p>
  <w:p w:rsidR="0093517A" w:rsidRPr="00163C82" w:rsidRDefault="0093517A" w:rsidP="00163C82">
    <w:pPr>
      <w:pStyle w:val="Kopfzeile"/>
      <w:tabs>
        <w:tab w:val="clear" w:pos="9071"/>
      </w:tabs>
      <w:ind w:left="-1361"/>
      <w:rPr>
        <w:sz w:val="2"/>
        <w:szCs w:val="2"/>
      </w:rPr>
    </w:pPr>
    <w:r>
      <w:object w:dxaOrig="21579" w:dyaOrig="3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603pt;height:74.25pt" o:ole="">
          <v:imagedata r:id="rId2" o:title=""/>
        </v:shape>
        <o:OLEObject Type="Embed" ProgID="Unknown" ShapeID="_x0000_i1032" DrawAspect="Content" ObjectID="_1598176594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AA5"/>
    <w:multiLevelType w:val="hybridMultilevel"/>
    <w:tmpl w:val="DC24F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E61DD"/>
    <w:multiLevelType w:val="singleLevel"/>
    <w:tmpl w:val="62E43D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58B60F2"/>
    <w:multiLevelType w:val="hybridMultilevel"/>
    <w:tmpl w:val="1C84505E"/>
    <w:lvl w:ilvl="0" w:tplc="845E7286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D2A23"/>
    <w:multiLevelType w:val="hybridMultilevel"/>
    <w:tmpl w:val="A1D27C0E"/>
    <w:lvl w:ilvl="0" w:tplc="D1AC5E2E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D63"/>
    <w:multiLevelType w:val="hybridMultilevel"/>
    <w:tmpl w:val="1F26499E"/>
    <w:lvl w:ilvl="0" w:tplc="00BEDDF2">
      <w:numFmt w:val="bullet"/>
      <w:lvlText w:val="•"/>
      <w:lvlJc w:val="left"/>
      <w:pPr>
        <w:ind w:left="70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997ED3"/>
    <w:multiLevelType w:val="hybridMultilevel"/>
    <w:tmpl w:val="777E8D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D6B21"/>
    <w:multiLevelType w:val="hybridMultilevel"/>
    <w:tmpl w:val="45D2E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56893"/>
    <w:multiLevelType w:val="hybridMultilevel"/>
    <w:tmpl w:val="395A87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02624"/>
    <w:multiLevelType w:val="hybridMultilevel"/>
    <w:tmpl w:val="EDD24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520AFA"/>
    <w:multiLevelType w:val="hybridMultilevel"/>
    <w:tmpl w:val="B9F21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862F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CC4D89"/>
    <w:multiLevelType w:val="hybridMultilevel"/>
    <w:tmpl w:val="6ED696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6D3B2B"/>
    <w:multiLevelType w:val="hybridMultilevel"/>
    <w:tmpl w:val="21CC1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9070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8635B96"/>
    <w:multiLevelType w:val="hybridMultilevel"/>
    <w:tmpl w:val="C3B8FCC4"/>
    <w:lvl w:ilvl="0" w:tplc="51F80BAA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84692"/>
    <w:multiLevelType w:val="hybridMultilevel"/>
    <w:tmpl w:val="FF423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E1F4A"/>
    <w:multiLevelType w:val="hybridMultilevel"/>
    <w:tmpl w:val="D48A2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0AA960">
      <w:numFmt w:val="bullet"/>
      <w:lvlText w:val="•"/>
      <w:lvlJc w:val="left"/>
      <w:pPr>
        <w:ind w:left="1425" w:hanging="705"/>
      </w:pPr>
      <w:rPr>
        <w:rFonts w:ascii="AauxPro OT Regular" w:eastAsia="Times New Roman" w:hAnsi="AauxPro OT Regular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2E3E87"/>
    <w:multiLevelType w:val="singleLevel"/>
    <w:tmpl w:val="CB8A1826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</w:abstractNum>
  <w:abstractNum w:abstractNumId="18">
    <w:nsid w:val="4BAE1F0D"/>
    <w:multiLevelType w:val="hybridMultilevel"/>
    <w:tmpl w:val="E5EE9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363A1"/>
    <w:multiLevelType w:val="hybridMultilevel"/>
    <w:tmpl w:val="E32E11B0"/>
    <w:lvl w:ilvl="0" w:tplc="5FD26B38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10641"/>
    <w:multiLevelType w:val="hybridMultilevel"/>
    <w:tmpl w:val="5BB82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85E63"/>
    <w:multiLevelType w:val="hybridMultilevel"/>
    <w:tmpl w:val="883847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76605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A960CB"/>
    <w:multiLevelType w:val="hybridMultilevel"/>
    <w:tmpl w:val="38769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C75F2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C3283A"/>
    <w:multiLevelType w:val="hybridMultilevel"/>
    <w:tmpl w:val="E6829B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294C2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66E6187"/>
    <w:multiLevelType w:val="hybridMultilevel"/>
    <w:tmpl w:val="A7DAC0B4"/>
    <w:lvl w:ilvl="0" w:tplc="103E7B04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637D0"/>
    <w:multiLevelType w:val="singleLevel"/>
    <w:tmpl w:val="BE7AEC6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>
    <w:nsid w:val="6AA214D4"/>
    <w:multiLevelType w:val="hybridMultilevel"/>
    <w:tmpl w:val="81F62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A7F10"/>
    <w:multiLevelType w:val="hybridMultilevel"/>
    <w:tmpl w:val="D3C23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7"/>
  </w:num>
  <w:num w:numId="7">
    <w:abstractNumId w:val="29"/>
  </w:num>
  <w:num w:numId="8">
    <w:abstractNumId w:val="2"/>
  </w:num>
  <w:num w:numId="9">
    <w:abstractNumId w:val="25"/>
  </w:num>
  <w:num w:numId="10">
    <w:abstractNumId w:val="18"/>
  </w:num>
  <w:num w:numId="11">
    <w:abstractNumId w:val="27"/>
  </w:num>
  <w:num w:numId="12">
    <w:abstractNumId w:val="16"/>
  </w:num>
  <w:num w:numId="13">
    <w:abstractNumId w:val="30"/>
  </w:num>
  <w:num w:numId="14">
    <w:abstractNumId w:val="14"/>
  </w:num>
  <w:num w:numId="15">
    <w:abstractNumId w:val="21"/>
  </w:num>
  <w:num w:numId="16">
    <w:abstractNumId w:val="20"/>
  </w:num>
  <w:num w:numId="17">
    <w:abstractNumId w:val="19"/>
  </w:num>
  <w:num w:numId="18">
    <w:abstractNumId w:val="5"/>
  </w:num>
  <w:num w:numId="19">
    <w:abstractNumId w:val="6"/>
  </w:num>
  <w:num w:numId="20">
    <w:abstractNumId w:val="0"/>
  </w:num>
  <w:num w:numId="21">
    <w:abstractNumId w:val="23"/>
  </w:num>
  <w:num w:numId="22">
    <w:abstractNumId w:val="8"/>
  </w:num>
  <w:num w:numId="23">
    <w:abstractNumId w:val="17"/>
  </w:num>
  <w:num w:numId="24">
    <w:abstractNumId w:val="22"/>
  </w:num>
  <w:num w:numId="25">
    <w:abstractNumId w:val="10"/>
  </w:num>
  <w:num w:numId="26">
    <w:abstractNumId w:val="28"/>
  </w:num>
  <w:num w:numId="27">
    <w:abstractNumId w:val="24"/>
  </w:num>
  <w:num w:numId="28">
    <w:abstractNumId w:val="1"/>
  </w:num>
  <w:num w:numId="29">
    <w:abstractNumId w:val="26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82"/>
    <w:rsid w:val="00020903"/>
    <w:rsid w:val="00021DA9"/>
    <w:rsid w:val="00060233"/>
    <w:rsid w:val="00081972"/>
    <w:rsid w:val="000A2F16"/>
    <w:rsid w:val="000D0587"/>
    <w:rsid w:val="000F5E95"/>
    <w:rsid w:val="001635B5"/>
    <w:rsid w:val="00163C82"/>
    <w:rsid w:val="00183D1A"/>
    <w:rsid w:val="001A4E2A"/>
    <w:rsid w:val="001B6F7A"/>
    <w:rsid w:val="001D3552"/>
    <w:rsid w:val="001E0492"/>
    <w:rsid w:val="002A3917"/>
    <w:rsid w:val="00417CAB"/>
    <w:rsid w:val="00423426"/>
    <w:rsid w:val="00441915"/>
    <w:rsid w:val="00454E9F"/>
    <w:rsid w:val="004D19A2"/>
    <w:rsid w:val="00503CE2"/>
    <w:rsid w:val="00512AB0"/>
    <w:rsid w:val="00567ADE"/>
    <w:rsid w:val="0058238F"/>
    <w:rsid w:val="00595A5A"/>
    <w:rsid w:val="005A5019"/>
    <w:rsid w:val="006327A0"/>
    <w:rsid w:val="00665428"/>
    <w:rsid w:val="007006E3"/>
    <w:rsid w:val="00725BB7"/>
    <w:rsid w:val="00756964"/>
    <w:rsid w:val="007A6DEA"/>
    <w:rsid w:val="007C2FE6"/>
    <w:rsid w:val="007F1C02"/>
    <w:rsid w:val="00810885"/>
    <w:rsid w:val="008577D7"/>
    <w:rsid w:val="00861A18"/>
    <w:rsid w:val="00892C1E"/>
    <w:rsid w:val="008C1C71"/>
    <w:rsid w:val="008C2588"/>
    <w:rsid w:val="0093517A"/>
    <w:rsid w:val="00937AF9"/>
    <w:rsid w:val="00A12C74"/>
    <w:rsid w:val="00A1495A"/>
    <w:rsid w:val="00AD7732"/>
    <w:rsid w:val="00B2094F"/>
    <w:rsid w:val="00BE10C6"/>
    <w:rsid w:val="00C33EF7"/>
    <w:rsid w:val="00C518D3"/>
    <w:rsid w:val="00C93718"/>
    <w:rsid w:val="00D217C4"/>
    <w:rsid w:val="00D646A7"/>
    <w:rsid w:val="00D70958"/>
    <w:rsid w:val="00D9395F"/>
    <w:rsid w:val="00DD0C96"/>
    <w:rsid w:val="00DD580C"/>
    <w:rsid w:val="00E27F74"/>
    <w:rsid w:val="00E33A84"/>
    <w:rsid w:val="00E527CB"/>
    <w:rsid w:val="00E7523E"/>
    <w:rsid w:val="00EA4242"/>
    <w:rsid w:val="00FA2E7C"/>
    <w:rsid w:val="00FB663F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937AF9"/>
    <w:pPr>
      <w:spacing w:before="12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937AF9"/>
    <w:pPr>
      <w:spacing w:before="12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BF64-19E7-44CC-BA2D-67CF5929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99E50635.dotm</Template>
  <TotalTime>0</TotalTime>
  <Pages>5</Pages>
  <Words>660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Amt 16</vt:lpstr>
    </vt:vector>
  </TitlesOfParts>
  <Company>streamBASE GmbH</Company>
  <LinksUpToDate>false</LinksUpToDate>
  <CharactersWithSpaces>5665</CharactersWithSpaces>
  <SharedDoc>false</SharedDoc>
  <HLinks>
    <vt:vector size="6" baseType="variant">
      <vt:variant>
        <vt:i4>2424952</vt:i4>
      </vt:variant>
      <vt:variant>
        <vt:i4>5</vt:i4>
      </vt:variant>
      <vt:variant>
        <vt:i4>0</vt:i4>
      </vt:variant>
      <vt:variant>
        <vt:i4>5</vt:i4>
      </vt:variant>
      <vt:variant>
        <vt:lpwstr>http://www.mtk.org/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Amt 16</dc:title>
  <dc:creator>Philipps, Eva-Maria</dc:creator>
  <cp:lastModifiedBy>Uwe Weidner</cp:lastModifiedBy>
  <cp:revision>5</cp:revision>
  <cp:lastPrinted>2018-09-11T09:37:00Z</cp:lastPrinted>
  <dcterms:created xsi:type="dcterms:W3CDTF">2018-09-11T11:00:00Z</dcterms:created>
  <dcterms:modified xsi:type="dcterms:W3CDTF">2018-09-11T11:10:00Z</dcterms:modified>
</cp:coreProperties>
</file>