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A7339">
      <w:pPr>
        <w:pStyle w:val="berschrift4"/>
        <w:rPr>
          <w:b w:val="0"/>
          <w:sz w:val="24"/>
        </w:rPr>
      </w:pPr>
      <w:bookmarkStart w:id="0" w:name="_GoBack"/>
      <w:bookmarkEnd w:id="0"/>
      <w:r>
        <w:rPr>
          <w:b w:val="0"/>
          <w:sz w:val="24"/>
        </w:rPr>
        <w:t>51 – Thilo Schobes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Hofheim, den 02.02.2004</w:t>
      </w:r>
    </w:p>
    <w:p w:rsidR="00000000" w:rsidRDefault="008A7339"/>
    <w:p w:rsidR="00000000" w:rsidRDefault="008A7339">
      <w:pPr>
        <w:pStyle w:val="berschrift4"/>
        <w:rPr>
          <w:b w:val="0"/>
          <w:sz w:val="24"/>
        </w:rPr>
      </w:pPr>
    </w:p>
    <w:p w:rsidR="00000000" w:rsidRDefault="008A7339"/>
    <w:p w:rsidR="00000000" w:rsidRDefault="008A7339"/>
    <w:p w:rsidR="00000000" w:rsidRDefault="008A7339">
      <w:r>
        <w:t>Mitarbeiterinnen und Mitarbeiter</w:t>
      </w:r>
    </w:p>
    <w:p w:rsidR="00000000" w:rsidRDefault="008A7339">
      <w:r>
        <w:t>Sozialer Dienst</w:t>
      </w:r>
    </w:p>
    <w:p w:rsidR="00000000" w:rsidRDefault="008A7339"/>
    <w:p w:rsidR="00000000" w:rsidRDefault="008A7339">
      <w:r>
        <w:t>im Hause</w:t>
      </w:r>
    </w:p>
    <w:p w:rsidR="00000000" w:rsidRDefault="008A7339"/>
    <w:p w:rsidR="00000000" w:rsidRDefault="008A7339"/>
    <w:p w:rsidR="00000000" w:rsidRDefault="008A7339"/>
    <w:p w:rsidR="00000000" w:rsidRDefault="008A7339"/>
    <w:p w:rsidR="00000000" w:rsidRDefault="008A7339"/>
    <w:p w:rsidR="00000000" w:rsidRDefault="008A7339">
      <w:pPr>
        <w:pStyle w:val="berschrift4"/>
      </w:pPr>
      <w:r>
        <w:t>Handlungsanweisung für RECOS 14plus</w:t>
      </w:r>
    </w:p>
    <w:p w:rsidR="00000000" w:rsidRDefault="008A7339">
      <w:pPr>
        <w:jc w:val="both"/>
        <w:rPr>
          <w:b/>
        </w:rPr>
      </w:pPr>
    </w:p>
    <w:p w:rsidR="00000000" w:rsidRDefault="008A7339">
      <w:pPr>
        <w:jc w:val="both"/>
        <w:rPr>
          <w:b/>
        </w:rPr>
      </w:pPr>
    </w:p>
    <w:p w:rsidR="00000000" w:rsidRDefault="008A7339">
      <w:pPr>
        <w:jc w:val="both"/>
      </w:pPr>
      <w:r>
        <w:t xml:space="preserve">Für eine Auswertung von tatsächlich laufenden Hilfen ist es zwingend erforderlich, dass Vorgänge </w:t>
      </w:r>
      <w:r>
        <w:rPr>
          <w:u w:val="single"/>
        </w:rPr>
        <w:t>und</w:t>
      </w:r>
      <w:r>
        <w:t xml:space="preserve"> </w:t>
      </w:r>
      <w:r>
        <w:t>Aktionen regelmäßig dahingehend geprüft werden, ob sie noch Bestand haben (die Hilfe noch gewährt wird / die Beratung noch läuft / die Akte noch in Bea</w:t>
      </w:r>
      <w:r>
        <w:t>r</w:t>
      </w:r>
      <w:r>
        <w:t>beitung ist).</w:t>
      </w:r>
    </w:p>
    <w:p w:rsidR="00000000" w:rsidRDefault="008A7339">
      <w:pPr>
        <w:jc w:val="both"/>
      </w:pPr>
    </w:p>
    <w:p w:rsidR="00000000" w:rsidRDefault="008A7339">
      <w:pPr>
        <w:jc w:val="both"/>
      </w:pPr>
    </w:p>
    <w:p w:rsidR="00000000" w:rsidRDefault="008A7339">
      <w:pPr>
        <w:pStyle w:val="berschrift6"/>
      </w:pPr>
      <w:r>
        <w:t>Beginn und Ende von Vorgängen</w:t>
      </w:r>
    </w:p>
    <w:p w:rsidR="00000000" w:rsidRDefault="008A7339">
      <w:pPr>
        <w:jc w:val="both"/>
      </w:pPr>
    </w:p>
    <w:p w:rsidR="00000000" w:rsidRDefault="008A7339">
      <w:r>
        <w:rPr>
          <w:b/>
        </w:rPr>
        <w:t>Beginn</w:t>
      </w:r>
      <w:r>
        <w:t xml:space="preserve"> eines Vorgangs ist </w:t>
      </w:r>
    </w:p>
    <w:p w:rsidR="00000000" w:rsidRDefault="008A7339"/>
    <w:p w:rsidR="00000000" w:rsidRDefault="008A7339">
      <w:pPr>
        <w:numPr>
          <w:ilvl w:val="0"/>
          <w:numId w:val="1"/>
        </w:numPr>
        <w:spacing w:before="120"/>
        <w:ind w:left="357" w:hanging="357"/>
      </w:pPr>
      <w:r>
        <w:t xml:space="preserve">das Eingangsdatum des ersten </w:t>
      </w:r>
      <w:r>
        <w:t xml:space="preserve">Schriftstücks, das Anlass für das Tätigwerden ist/war </w:t>
      </w:r>
      <w:r>
        <w:rPr>
          <w:u w:val="single"/>
        </w:rPr>
        <w:t>oder</w:t>
      </w:r>
    </w:p>
    <w:p w:rsidR="00000000" w:rsidRDefault="008A7339">
      <w:pPr>
        <w:numPr>
          <w:ilvl w:val="0"/>
          <w:numId w:val="1"/>
        </w:numPr>
        <w:spacing w:before="120"/>
        <w:ind w:left="357" w:hanging="357"/>
      </w:pPr>
      <w:r>
        <w:t>das Datum der ersten Kontaktaufnahme (schriftlich, mündlich, telefonisch, per Mail)</w:t>
      </w:r>
    </w:p>
    <w:p w:rsidR="00000000" w:rsidRDefault="008A7339"/>
    <w:p w:rsidR="00000000" w:rsidRDefault="008A7339">
      <w:r>
        <w:t xml:space="preserve">Dieses Datum ist bei Anlage eines Vorgangs in </w:t>
      </w:r>
      <w:r>
        <w:rPr>
          <w:rFonts w:ascii="Trebuchet MS" w:hAnsi="Trebuchet MS"/>
          <w:b/>
        </w:rPr>
        <w:t>RECOS 14</w:t>
      </w:r>
      <w:r>
        <w:rPr>
          <w:rFonts w:ascii="Trebuchet MS" w:hAnsi="Trebuchet MS"/>
          <w:b/>
          <w:i/>
          <w:color w:val="FF0000"/>
          <w:vertAlign w:val="subscript"/>
        </w:rPr>
        <w:t>plus</w:t>
      </w:r>
      <w:r>
        <w:t xml:space="preserve"> in das Feld "Beginn" einzutragen, das vorgeschlagene </w:t>
      </w:r>
      <w:r>
        <w:t>Tagesdatum ist entsprechend zu überschreiben.</w:t>
      </w:r>
    </w:p>
    <w:p w:rsidR="00000000" w:rsidRDefault="008A7339"/>
    <w:p w:rsidR="00000000" w:rsidRDefault="008A7339">
      <w:r>
        <w:rPr>
          <w:b/>
        </w:rPr>
        <w:t>Ende</w:t>
      </w:r>
      <w:r>
        <w:t xml:space="preserve"> eines Vorgangs ist</w:t>
      </w:r>
    </w:p>
    <w:p w:rsidR="00000000" w:rsidRDefault="008A7339"/>
    <w:p w:rsidR="00000000" w:rsidRDefault="008A7339">
      <w:pPr>
        <w:numPr>
          <w:ilvl w:val="0"/>
          <w:numId w:val="2"/>
        </w:numPr>
        <w:spacing w:before="120"/>
        <w:ind w:left="357" w:hanging="357"/>
      </w:pPr>
      <w:r>
        <w:t xml:space="preserve">eingetreten, sobald die letzte laufende Aktion abgeschlossen (beendet) wird, Ausnahme: Sofern hilfeplanungsrelevante Aktionen im Vorgang durchgeführt wurden, ist noch die Aktion "Ende </w:t>
      </w:r>
      <w:r>
        <w:t>der Hilfe zur Erziehung / Eingliederungshilfe" auszufüllen und innerhalb der Frist (siehe Tabelle) zu beenden.</w:t>
      </w:r>
    </w:p>
    <w:p w:rsidR="00000000" w:rsidRDefault="008A7339">
      <w:pPr>
        <w:numPr>
          <w:ilvl w:val="0"/>
          <w:numId w:val="2"/>
        </w:numPr>
        <w:spacing w:before="120"/>
        <w:ind w:left="357" w:hanging="357"/>
      </w:pPr>
      <w:r>
        <w:t>das Datum der tatsächlichen Fallübergabe an ein anderes J</w:t>
      </w:r>
      <w:r>
        <w:t>u</w:t>
      </w:r>
      <w:r>
        <w:t xml:space="preserve">gendamt </w:t>
      </w:r>
      <w:r>
        <w:rPr>
          <w:u w:val="single"/>
        </w:rPr>
        <w:t>oder</w:t>
      </w:r>
    </w:p>
    <w:p w:rsidR="00000000" w:rsidRDefault="008A7339">
      <w:pPr>
        <w:numPr>
          <w:ilvl w:val="0"/>
          <w:numId w:val="2"/>
        </w:numPr>
        <w:spacing w:before="120"/>
        <w:ind w:left="357" w:hanging="357"/>
      </w:pPr>
      <w:r>
        <w:t>das Datum der Entscheidung der Fachkraft, einen Vorgang mangels weiterer K</w:t>
      </w:r>
      <w:r>
        <w:t>ontakte (Wiedervorlagefrist laut Tabelle unten) oder aufgrund Eingang eines a</w:t>
      </w:r>
      <w:r>
        <w:t>b</w:t>
      </w:r>
      <w:r>
        <w:t>schließenden Schriftstücks (z.B. Urteil bei Sorgerechtsangelegenheiten, Einste</w:t>
      </w:r>
      <w:r>
        <w:t>l</w:t>
      </w:r>
      <w:r>
        <w:t>lungsb</w:t>
      </w:r>
      <w:r>
        <w:t>e</w:t>
      </w:r>
      <w:r>
        <w:t>scheide JGH, etc.) nicht mehr weiterzuführen.</w:t>
      </w:r>
    </w:p>
    <w:p w:rsidR="00000000" w:rsidRDefault="008A7339">
      <w:pPr>
        <w:pStyle w:val="berschrift6"/>
      </w:pPr>
      <w:r>
        <w:br w:type="page"/>
      </w:r>
      <w:r>
        <w:lastRenderedPageBreak/>
        <w:t>Beginn und Ende von Aktionen</w:t>
      </w:r>
    </w:p>
    <w:p w:rsidR="00000000" w:rsidRDefault="008A7339">
      <w:pPr>
        <w:jc w:val="both"/>
      </w:pPr>
    </w:p>
    <w:p w:rsidR="00000000" w:rsidRDefault="008A7339">
      <w:pPr>
        <w:jc w:val="both"/>
      </w:pPr>
      <w:r>
        <w:t>Wird im Einzelf</w:t>
      </w:r>
      <w:r>
        <w:t>all festgestellt, dass eine Hilfeaktion / Beratungsaktion nicht mehr a</w:t>
      </w:r>
      <w:r>
        <w:t>k</w:t>
      </w:r>
      <w:r>
        <w:t>tuell ist, muss die Aktion mit einem Ende-Datum versehen werden. Eine Aktion endet</w:t>
      </w:r>
    </w:p>
    <w:p w:rsidR="00000000" w:rsidRDefault="008A7339">
      <w:pPr>
        <w:numPr>
          <w:ilvl w:val="0"/>
          <w:numId w:val="3"/>
        </w:numPr>
        <w:tabs>
          <w:tab w:val="clear" w:pos="360"/>
          <w:tab w:val="num" w:pos="420"/>
        </w:tabs>
        <w:spacing w:before="120"/>
        <w:ind w:left="357" w:hanging="357"/>
      </w:pPr>
      <w:r>
        <w:t>regelhaft mit dem letzten Tag der entsprechenden Hilfegewährung</w:t>
      </w:r>
    </w:p>
    <w:p w:rsidR="00000000" w:rsidRDefault="008A7339">
      <w:pPr>
        <w:numPr>
          <w:ilvl w:val="0"/>
          <w:numId w:val="3"/>
        </w:numPr>
        <w:tabs>
          <w:tab w:val="clear" w:pos="360"/>
          <w:tab w:val="num" w:pos="420"/>
        </w:tabs>
        <w:spacing w:before="120"/>
        <w:ind w:left="357" w:hanging="357"/>
      </w:pPr>
      <w:r>
        <w:t>mit der Entscheidung der Fachkraft, da</w:t>
      </w:r>
      <w:r>
        <w:t>ss diese Hilfe oder Hilfeplanphase bee</w:t>
      </w:r>
      <w:r>
        <w:t>n</w:t>
      </w:r>
      <w:r>
        <w:t>det ist</w:t>
      </w:r>
    </w:p>
    <w:p w:rsidR="00000000" w:rsidRDefault="008A7339">
      <w:pPr>
        <w:numPr>
          <w:ilvl w:val="0"/>
          <w:numId w:val="3"/>
        </w:numPr>
        <w:tabs>
          <w:tab w:val="clear" w:pos="360"/>
          <w:tab w:val="num" w:pos="420"/>
        </w:tabs>
        <w:spacing w:before="120"/>
        <w:ind w:left="357" w:hanging="357"/>
      </w:pPr>
      <w:r>
        <w:t>spätestens nach Ablauf der in der folgenden Tabelle genannten Frist, sofern ke</w:t>
      </w:r>
      <w:r>
        <w:t>i</w:t>
      </w:r>
      <w:r>
        <w:t>ne weiteren – auf diese Aktion bezogenen – Tätigkeiten durchgeführt wurden</w:t>
      </w:r>
    </w:p>
    <w:p w:rsidR="00000000" w:rsidRDefault="008A733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222"/>
        <w:gridCol w:w="221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pStyle w:val="berschrift5"/>
            </w:pPr>
            <w:r>
              <w:t>Aktion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WVL-Frist für die späteste Beendigung der Aktio</w:t>
            </w:r>
            <w:r>
              <w:rPr>
                <w:b/>
                <w:snapToGrid w:val="0"/>
                <w:color w:val="000000"/>
                <w:sz w:val="20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Allgemeine Datensammlung </w:t>
            </w:r>
            <w:r>
              <w:rPr>
                <w:i/>
                <w:snapToGrid w:val="0"/>
                <w:color w:val="000000"/>
                <w:sz w:val="20"/>
              </w:rPr>
              <w:t>(als einzig vorhandene Aktion im Vorgang)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 Monate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Ende der Hilfe zur Erziehung / Eingliederungshilfe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Protokoll der Jugendhilferatssitzung (Einzelhilfe)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 Monat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Protokoll der Jugendhilferatssitzung (Familienhilfe)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 Monat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Sonstige Aufgaben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 Monate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Vorlage Jugendhilferat (Einzelhilfe)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 Monat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Vorlage Jugendhilferat (Familienhilfe)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 Monat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13 SGB VIII: Sozialpädagogisch begleitete Ausbildungs- und Beschäft</w:t>
            </w:r>
            <w:r>
              <w:rPr>
                <w:snapToGrid w:val="0"/>
                <w:color w:val="000000"/>
                <w:sz w:val="20"/>
              </w:rPr>
              <w:t>i</w:t>
            </w:r>
            <w:r>
              <w:rPr>
                <w:snapToGrid w:val="0"/>
                <w:color w:val="000000"/>
                <w:sz w:val="20"/>
              </w:rPr>
              <w:t>gungsmaßnahmen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16 SGB VIII: Allgemeine F</w:t>
            </w:r>
            <w:r>
              <w:rPr>
                <w:snapToGrid w:val="0"/>
                <w:color w:val="000000"/>
                <w:sz w:val="20"/>
              </w:rPr>
              <w:t>örderung der Erziehung in der Familie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6 Monate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§ 17, 18 SGB VIII: Beratung/Unterstützung in Fragen von Partnerschaft, </w:t>
            </w:r>
          </w:p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Tre</w:t>
            </w:r>
            <w:r>
              <w:rPr>
                <w:snapToGrid w:val="0"/>
                <w:color w:val="000000"/>
                <w:sz w:val="20"/>
              </w:rPr>
              <w:t>n</w:t>
            </w:r>
            <w:r>
              <w:rPr>
                <w:snapToGrid w:val="0"/>
                <w:color w:val="000000"/>
                <w:sz w:val="20"/>
              </w:rPr>
              <w:t>nung, Scheidung, Personensorge und Umgangsregelung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6 Monate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19 SGB VIII: Gemeinsame Wohnformen für Mütter/Väter und Kinder - Hilf</w:t>
            </w:r>
            <w:r>
              <w:rPr>
                <w:snapToGrid w:val="0"/>
                <w:color w:val="000000"/>
                <w:sz w:val="20"/>
              </w:rPr>
              <w:t>e</w:t>
            </w:r>
            <w:r>
              <w:rPr>
                <w:snapToGrid w:val="0"/>
                <w:color w:val="000000"/>
                <w:sz w:val="20"/>
              </w:rPr>
              <w:t>planung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27 SGB VIII: Betreuung und Begleitung UMF - ohne Hilfeplanung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6 Monate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27 SGB VIII: Sonstige ambulante HzE - Hilfeplanung (Einzelhilfe)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27 SGB VIII: Sonstige ambulante HzE - Hilfeplanung (Familienhilfe)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28 SGB V</w:t>
            </w:r>
            <w:r>
              <w:rPr>
                <w:snapToGrid w:val="0"/>
                <w:color w:val="000000"/>
                <w:sz w:val="20"/>
              </w:rPr>
              <w:t>III: Erziehungsberatung durch den ASD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6 Monate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29 SGB VIII Soziale Gruppenarbeit - Hilfeplanung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30 SGB VIII: Erziehungsbeistandschaft - Hilfeplanung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31 SGB VIII: Sozialpädagogische Familienhilfe - Hilfeplanung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32 SGB VII</w:t>
            </w:r>
            <w:r>
              <w:rPr>
                <w:snapToGrid w:val="0"/>
                <w:color w:val="000000"/>
                <w:sz w:val="20"/>
              </w:rPr>
              <w:t>I: Erziehung in einer Tagesgruppe - Hilfeplanung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33 SGB VIII: Vollzeitpflege - Hilfeplanung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34 SGB VIII: Heimerziehung, sonstige betreute Wohnform - Hilfeplanung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35 SGB VIII: Intensive sozialpädagogische Einzelbetreuung - H</w:t>
            </w:r>
            <w:r>
              <w:rPr>
                <w:snapToGrid w:val="0"/>
                <w:color w:val="000000"/>
                <w:sz w:val="20"/>
              </w:rPr>
              <w:t>ilfepl</w:t>
            </w:r>
            <w:r>
              <w:rPr>
                <w:snapToGrid w:val="0"/>
                <w:color w:val="000000"/>
                <w:sz w:val="20"/>
              </w:rPr>
              <w:t>a</w:t>
            </w:r>
            <w:r>
              <w:rPr>
                <w:snapToGrid w:val="0"/>
                <w:color w:val="000000"/>
                <w:sz w:val="20"/>
              </w:rPr>
              <w:t>nung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35a SGB VIII: Eingliederungshilfe - ambulante Therapie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35a SGB VIII: Eingliederungshilfe - Hilfeplanung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41 SGB VIII: Hilfe für junge Volljährige - Hilfeplanung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1 Jahr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42, 43 SGB VIII: Vorläufige Schutzmaßnah</w:t>
            </w:r>
            <w:r>
              <w:rPr>
                <w:snapToGrid w:val="0"/>
                <w:color w:val="000000"/>
                <w:sz w:val="20"/>
              </w:rPr>
              <w:t>me, Herausnahme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 Monate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22" w:type="dxa"/>
          </w:tcPr>
          <w:p w:rsidR="00000000" w:rsidRDefault="008A7339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§ 52 SGB VIII: Jugendgerichtshilfe</w:t>
            </w:r>
          </w:p>
        </w:tc>
        <w:tc>
          <w:tcPr>
            <w:tcW w:w="2219" w:type="dxa"/>
          </w:tcPr>
          <w:p w:rsidR="00000000" w:rsidRDefault="008A7339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12 Monate</w:t>
            </w:r>
          </w:p>
        </w:tc>
      </w:tr>
    </w:tbl>
    <w:p w:rsidR="00000000" w:rsidRDefault="008A7339">
      <w:pPr>
        <w:jc w:val="both"/>
      </w:pPr>
    </w:p>
    <w:p w:rsidR="00000000" w:rsidRDefault="008A7339">
      <w:pPr>
        <w:jc w:val="both"/>
      </w:pPr>
      <w:r>
        <w:t>Die Wiedervorlagefunktion ist für die Überwachung der vorstehenden Fristen zu nu</w:t>
      </w:r>
      <w:r>
        <w:t>t</w:t>
      </w:r>
      <w:r>
        <w:t>zen. Auswertungen über Hilfedauer und Hilfeverläufe werden künftig über das g</w:t>
      </w:r>
      <w:r>
        <w:t>e</w:t>
      </w:r>
      <w:r>
        <w:t xml:space="preserve">speicherten Beginn- und </w:t>
      </w:r>
      <w:r>
        <w:t>Endedatum vorgenommen, es ist deshalb auf eine sorgfält</w:t>
      </w:r>
      <w:r>
        <w:t>i</w:t>
      </w:r>
      <w:r>
        <w:t>ge Erfassung dieser Daten zu achten.</w:t>
      </w:r>
    </w:p>
    <w:p w:rsidR="00000000" w:rsidRDefault="008A7339">
      <w:pPr>
        <w:jc w:val="both"/>
      </w:pPr>
    </w:p>
    <w:p w:rsidR="00000000" w:rsidRDefault="008A7339">
      <w:pPr>
        <w:jc w:val="both"/>
      </w:pPr>
      <w:r>
        <w:t>Diese Handlungsanweisung tritt sofort in Kraft.</w:t>
      </w:r>
    </w:p>
    <w:p w:rsidR="00000000" w:rsidRDefault="008A7339">
      <w:pPr>
        <w:jc w:val="both"/>
      </w:pPr>
    </w:p>
    <w:p w:rsidR="00000000" w:rsidRDefault="008A7339">
      <w:pPr>
        <w:jc w:val="both"/>
      </w:pPr>
    </w:p>
    <w:p w:rsidR="00000000" w:rsidRDefault="008A7339">
      <w:pPr>
        <w:jc w:val="both"/>
      </w:pPr>
      <w:r>
        <w:t>(Thilo Schobes)</w:t>
      </w:r>
    </w:p>
    <w:sectPr w:rsidR="00000000">
      <w:footerReference w:type="default" r:id="rId8"/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7339">
      <w:r>
        <w:separator/>
      </w:r>
    </w:p>
  </w:endnote>
  <w:endnote w:type="continuationSeparator" w:id="0">
    <w:p w:rsidR="00000000" w:rsidRDefault="008A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A7339">
    <w:pPr>
      <w:pStyle w:val="Fuzeile"/>
    </w:pPr>
  </w:p>
  <w:p w:rsidR="00000000" w:rsidRDefault="008A7339">
    <w:pPr>
      <w:pStyle w:val="Fuzeile"/>
    </w:pPr>
    <w:r>
      <w:fldChar w:fldCharType="begin"/>
    </w:r>
    <w:r>
      <w:instrText xml:space="preserve"> </w:instrText>
    </w:r>
    <w:r>
      <w:instrText>FILENAME</w:instrText>
    </w:r>
    <w:r>
      <w:instrText xml:space="preserve"> \* </w:instrText>
    </w:r>
    <w:r>
      <w:instrText>LOWER</w:instrText>
    </w:r>
    <w:r>
      <w:instrText xml:space="preserve">\p  \* </w:instrText>
    </w:r>
    <w:r>
      <w:instrText>MERGEFORMAT</w:instrText>
    </w:r>
    <w:r>
      <w:instrText xml:space="preserve"> </w:instrText>
    </w:r>
    <w:r>
      <w:fldChar w:fldCharType="separate"/>
    </w:r>
    <w:r>
      <w:rPr>
        <w:noProof/>
      </w:rPr>
      <w:t>g:\intranet-portal\amt 51\neu\anleitungen, handbücher, vorlagen\prosoz 14plus\prosoz 14plus - dienst- und geschäftsanweisungen, regelungen\handlungsanweisung_vorgaenge_und_aktionen.docx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7339">
      <w:r>
        <w:separator/>
      </w:r>
    </w:p>
  </w:footnote>
  <w:footnote w:type="continuationSeparator" w:id="0">
    <w:p w:rsidR="00000000" w:rsidRDefault="008A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7E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E5796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C547F2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B6"/>
    <w:rsid w:val="007439B6"/>
    <w:rsid w:val="008A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napToGrid w:val="0"/>
      <w:color w:val="000000"/>
      <w:sz w:val="20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b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16"/>
    </w:rPr>
  </w:style>
  <w:style w:type="paragraph" w:styleId="Textkrper">
    <w:name w:val="Body Text"/>
    <w:basedOn w:val="Standard"/>
    <w:semiHidden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napToGrid w:val="0"/>
      <w:color w:val="000000"/>
      <w:sz w:val="20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b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16"/>
    </w:rPr>
  </w:style>
  <w:style w:type="paragraph" w:styleId="Textkrper">
    <w:name w:val="Body Text"/>
    <w:basedOn w:val="Standard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AEF7A753.dotm</Template>
  <TotalTime>0</TotalTime>
  <Pages>2</Pages>
  <Words>582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Aktionen und Vorgänge beenden</vt:lpstr>
    </vt:vector>
  </TitlesOfParts>
  <Company>Main-Taunus-Kreis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Aktionen und Vorgänge beenden</dc:title>
  <dc:creator>Uwe Weidner</dc:creator>
  <cp:lastModifiedBy>Uwe Weidner</cp:lastModifiedBy>
  <cp:revision>3</cp:revision>
  <cp:lastPrinted>2018-09-11T12:55:00Z</cp:lastPrinted>
  <dcterms:created xsi:type="dcterms:W3CDTF">2018-09-11T12:55:00Z</dcterms:created>
  <dcterms:modified xsi:type="dcterms:W3CDTF">2018-09-11T12:55:00Z</dcterms:modified>
</cp:coreProperties>
</file>